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C176F8" w14:paraId="2A131A54" w14:textId="77777777" w:rsidTr="000B39C1">
        <w:trPr>
          <w:trHeight w:val="852"/>
          <w:jc w:val="center"/>
        </w:trPr>
        <w:tc>
          <w:tcPr>
            <w:tcW w:w="6940" w:type="dxa"/>
            <w:vMerge w:val="restart"/>
            <w:tcBorders>
              <w:right w:val="single" w:sz="4" w:space="0" w:color="auto"/>
            </w:tcBorders>
          </w:tcPr>
          <w:p w14:paraId="38C3D2BA" w14:textId="77777777" w:rsidR="000A03B2" w:rsidRPr="00C176F8" w:rsidRDefault="000A03B2" w:rsidP="00DE264A">
            <w:pPr>
              <w:tabs>
                <w:tab w:val="left" w:pos="-108"/>
              </w:tabs>
              <w:ind w:left="-108"/>
              <w:jc w:val="left"/>
              <w:rPr>
                <w:rFonts w:cs="Arial"/>
                <w:b/>
                <w:bCs/>
                <w:i/>
                <w:iCs/>
                <w:sz w:val="12"/>
                <w:szCs w:val="12"/>
                <w:lang w:eastAsia="it-IT"/>
              </w:rPr>
            </w:pPr>
            <w:bookmarkStart w:id="0" w:name="_Hlk145068772"/>
            <w:bookmarkStart w:id="1" w:name="_GoBack"/>
            <w:bookmarkEnd w:id="1"/>
            <w:r w:rsidRPr="00C176F8">
              <w:rPr>
                <w:rFonts w:ascii="AdvP6960" w:hAnsi="AdvP6960" w:cs="AdvP6960"/>
                <w:noProof/>
                <w:szCs w:val="18"/>
                <w:lang w:eastAsia="en-GB"/>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176F8">
              <w:rPr>
                <w:rFonts w:ascii="AdvP6960" w:hAnsi="AdvP6960" w:cs="AdvP6960"/>
                <w:szCs w:val="18"/>
                <w:lang w:eastAsia="it-IT"/>
              </w:rPr>
              <w:t xml:space="preserve"> </w:t>
            </w:r>
            <w:r w:rsidRPr="00C176F8">
              <w:rPr>
                <w:rFonts w:cs="Arial"/>
                <w:b/>
                <w:bCs/>
                <w:i/>
                <w:iCs/>
                <w:sz w:val="24"/>
                <w:szCs w:val="24"/>
                <w:lang w:eastAsia="it-IT"/>
              </w:rPr>
              <w:t>CHEMICAL ENGINEERING TRANSACTIONS</w:t>
            </w:r>
            <w:r w:rsidRPr="00C176F8">
              <w:rPr>
                <w:sz w:val="24"/>
                <w:szCs w:val="24"/>
                <w:lang w:eastAsia="it-IT"/>
              </w:rPr>
              <w:t xml:space="preserve"> </w:t>
            </w:r>
            <w:r w:rsidRPr="00C176F8">
              <w:rPr>
                <w:rFonts w:cs="Arial"/>
                <w:b/>
                <w:bCs/>
                <w:i/>
                <w:iCs/>
                <w:sz w:val="27"/>
                <w:szCs w:val="27"/>
                <w:lang w:eastAsia="it-IT"/>
              </w:rPr>
              <w:br/>
            </w:r>
          </w:p>
          <w:p w14:paraId="4B780582" w14:textId="47EF826C" w:rsidR="000A03B2" w:rsidRPr="00C176F8" w:rsidRDefault="00A76EFC" w:rsidP="001D21AF">
            <w:pPr>
              <w:tabs>
                <w:tab w:val="left" w:pos="-108"/>
              </w:tabs>
              <w:ind w:left="-108"/>
              <w:rPr>
                <w:rFonts w:cs="Arial"/>
                <w:b/>
                <w:bCs/>
                <w:i/>
                <w:iCs/>
                <w:sz w:val="22"/>
                <w:szCs w:val="22"/>
                <w:lang w:eastAsia="it-IT"/>
              </w:rPr>
            </w:pPr>
            <w:r w:rsidRPr="00C176F8">
              <w:rPr>
                <w:rFonts w:cs="Arial"/>
                <w:b/>
                <w:bCs/>
                <w:i/>
                <w:iCs/>
                <w:sz w:val="22"/>
                <w:szCs w:val="22"/>
                <w:lang w:eastAsia="it-IT"/>
              </w:rPr>
              <w:t>VOL.</w:t>
            </w:r>
            <w:r w:rsidR="00785BF9" w:rsidRPr="00C176F8">
              <w:rPr>
                <w:rFonts w:cs="Arial"/>
                <w:b/>
                <w:bCs/>
                <w:i/>
                <w:iCs/>
                <w:sz w:val="22"/>
                <w:szCs w:val="22"/>
                <w:lang w:eastAsia="it-IT"/>
              </w:rPr>
              <w:t xml:space="preserve"> </w:t>
            </w:r>
            <w:r w:rsidR="00994C6A" w:rsidRPr="00C176F8">
              <w:rPr>
                <w:rFonts w:cs="Arial"/>
                <w:b/>
                <w:bCs/>
                <w:i/>
                <w:iCs/>
                <w:sz w:val="22"/>
                <w:szCs w:val="22"/>
                <w:lang w:eastAsia="it-IT"/>
              </w:rPr>
              <w:t>xxx</w:t>
            </w:r>
            <w:r w:rsidR="007B48F9" w:rsidRPr="00C176F8">
              <w:rPr>
                <w:rFonts w:cs="Arial"/>
                <w:b/>
                <w:bCs/>
                <w:i/>
                <w:iCs/>
                <w:sz w:val="22"/>
                <w:szCs w:val="22"/>
                <w:lang w:eastAsia="it-IT"/>
              </w:rPr>
              <w:t>,</w:t>
            </w:r>
            <w:r w:rsidR="00FA5F5F" w:rsidRPr="00C176F8">
              <w:rPr>
                <w:rFonts w:cs="Arial"/>
                <w:b/>
                <w:bCs/>
                <w:i/>
                <w:iCs/>
                <w:sz w:val="22"/>
                <w:szCs w:val="22"/>
                <w:lang w:eastAsia="it-IT"/>
              </w:rPr>
              <w:t xml:space="preserve"> </w:t>
            </w:r>
            <w:r w:rsidR="0030152C" w:rsidRPr="00C176F8">
              <w:rPr>
                <w:rFonts w:cs="Arial"/>
                <w:b/>
                <w:bCs/>
                <w:i/>
                <w:iCs/>
                <w:sz w:val="22"/>
                <w:szCs w:val="22"/>
                <w:lang w:eastAsia="it-IT"/>
              </w:rPr>
              <w:t>202</w:t>
            </w:r>
            <w:r w:rsidR="00994C6A" w:rsidRPr="00C176F8">
              <w:rPr>
                <w:rFonts w:cs="Arial"/>
                <w:b/>
                <w:bCs/>
                <w:i/>
                <w:iCs/>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C176F8" w:rsidRDefault="000A03B2" w:rsidP="00CD5FE2">
            <w:pPr>
              <w:spacing w:line="140" w:lineRule="atLeast"/>
              <w:jc w:val="right"/>
              <w:rPr>
                <w:rFonts w:cs="Arial"/>
                <w:sz w:val="14"/>
                <w:szCs w:val="14"/>
              </w:rPr>
            </w:pPr>
            <w:r w:rsidRPr="00C176F8">
              <w:rPr>
                <w:rFonts w:cs="Arial"/>
                <w:sz w:val="14"/>
                <w:szCs w:val="14"/>
              </w:rPr>
              <w:t>A publication of</w:t>
            </w:r>
          </w:p>
          <w:p w14:paraId="599E5441" w14:textId="77777777" w:rsidR="000A03B2" w:rsidRPr="00C176F8" w:rsidRDefault="000A03B2" w:rsidP="00CD5FE2">
            <w:pPr>
              <w:jc w:val="right"/>
            </w:pPr>
            <w:r w:rsidRPr="00C176F8">
              <w:rPr>
                <w:noProof/>
                <w:lang w:eastAsia="en-GB"/>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C176F8" w14:paraId="380FA3CD" w14:textId="77777777" w:rsidTr="000B39C1">
        <w:trPr>
          <w:trHeight w:val="567"/>
          <w:jc w:val="center"/>
        </w:trPr>
        <w:tc>
          <w:tcPr>
            <w:tcW w:w="6940" w:type="dxa"/>
            <w:vMerge/>
            <w:tcBorders>
              <w:right w:val="single" w:sz="4" w:space="0" w:color="auto"/>
            </w:tcBorders>
          </w:tcPr>
          <w:p w14:paraId="39E5E4C1" w14:textId="77777777" w:rsidR="000A03B2" w:rsidRPr="00C176F8"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C176F8" w:rsidRDefault="000A03B2" w:rsidP="00CD5FE2">
            <w:pPr>
              <w:spacing w:line="140" w:lineRule="atLeast"/>
              <w:jc w:val="right"/>
              <w:rPr>
                <w:rFonts w:cs="Arial"/>
                <w:sz w:val="14"/>
                <w:szCs w:val="14"/>
              </w:rPr>
            </w:pPr>
            <w:r w:rsidRPr="00C176F8">
              <w:rPr>
                <w:rFonts w:cs="Arial"/>
                <w:sz w:val="14"/>
                <w:szCs w:val="14"/>
              </w:rPr>
              <w:t>The Italian Association</w:t>
            </w:r>
          </w:p>
          <w:p w14:paraId="7522B1D2" w14:textId="77777777" w:rsidR="000A03B2" w:rsidRPr="00C176F8" w:rsidRDefault="000A03B2" w:rsidP="00CD5FE2">
            <w:pPr>
              <w:spacing w:line="140" w:lineRule="atLeast"/>
              <w:jc w:val="right"/>
              <w:rPr>
                <w:rFonts w:cs="Arial"/>
                <w:sz w:val="14"/>
                <w:szCs w:val="14"/>
              </w:rPr>
            </w:pPr>
            <w:r w:rsidRPr="00C176F8">
              <w:rPr>
                <w:rFonts w:cs="Arial"/>
                <w:sz w:val="14"/>
                <w:szCs w:val="14"/>
              </w:rPr>
              <w:t>of Chemical Engineering</w:t>
            </w:r>
          </w:p>
          <w:p w14:paraId="4F0CC5DE" w14:textId="47FDB2FC" w:rsidR="000A03B2" w:rsidRPr="00C176F8" w:rsidRDefault="000D0268" w:rsidP="00CD5FE2">
            <w:pPr>
              <w:spacing w:line="140" w:lineRule="atLeast"/>
              <w:jc w:val="right"/>
              <w:rPr>
                <w:rFonts w:cs="Arial"/>
                <w:sz w:val="13"/>
                <w:szCs w:val="13"/>
              </w:rPr>
            </w:pPr>
            <w:r w:rsidRPr="00C176F8">
              <w:rPr>
                <w:rFonts w:cs="Arial"/>
                <w:sz w:val="13"/>
                <w:szCs w:val="13"/>
              </w:rPr>
              <w:t>Online at www.cetjournal.it</w:t>
            </w:r>
          </w:p>
        </w:tc>
      </w:tr>
      <w:tr w:rsidR="000A03B2" w:rsidRPr="00C176F8" w14:paraId="2D1B7169" w14:textId="77777777" w:rsidTr="000B39C1">
        <w:trPr>
          <w:trHeight w:val="68"/>
          <w:jc w:val="center"/>
        </w:trPr>
        <w:tc>
          <w:tcPr>
            <w:tcW w:w="8782" w:type="dxa"/>
            <w:gridSpan w:val="2"/>
          </w:tcPr>
          <w:p w14:paraId="1D8DD3C9" w14:textId="025D7B18" w:rsidR="00AA7D26" w:rsidRPr="00C176F8" w:rsidRDefault="00AA7D26" w:rsidP="007D610D">
            <w:pPr>
              <w:ind w:left="-107"/>
              <w:outlineLvl w:val="2"/>
              <w:rPr>
                <w:rFonts w:ascii="Tahoma" w:hAnsi="Tahoma" w:cs="Tahoma"/>
                <w:sz w:val="14"/>
                <w:szCs w:val="14"/>
                <w:shd w:val="clear" w:color="auto" w:fill="FFFFFF"/>
                <w:lang w:val="it-IT"/>
              </w:rPr>
            </w:pPr>
            <w:r w:rsidRPr="00C176F8">
              <w:rPr>
                <w:rFonts w:ascii="Tahoma" w:hAnsi="Tahoma" w:cs="Tahoma"/>
                <w:iCs/>
                <w:sz w:val="14"/>
                <w:szCs w:val="14"/>
                <w:lang w:val="it-IT" w:eastAsia="it-IT"/>
              </w:rPr>
              <w:t>Guest Editors:</w:t>
            </w:r>
            <w:r w:rsidR="007D610D" w:rsidRPr="00C176F8">
              <w:rPr>
                <w:rFonts w:ascii="Aptos" w:eastAsiaTheme="minorHAnsi" w:hAnsi="Aptos" w:cs="Aptos"/>
                <w:sz w:val="22"/>
                <w:szCs w:val="22"/>
                <w:lang w:val="it-IT"/>
                <w14:ligatures w14:val="standardContextual"/>
              </w:rPr>
              <w:t xml:space="preserve"> </w:t>
            </w:r>
            <w:r w:rsidR="007D610D" w:rsidRPr="00C176F8">
              <w:rPr>
                <w:rFonts w:ascii="Tahoma" w:hAnsi="Tahoma" w:cs="Tahoma"/>
                <w:sz w:val="14"/>
                <w:szCs w:val="14"/>
                <w:shd w:val="clear" w:color="auto" w:fill="FFFFFF"/>
                <w:lang w:val="it-IT"/>
              </w:rPr>
              <w:t xml:space="preserve">Fabrizio Bezzo, </w:t>
            </w:r>
            <w:r w:rsidR="001D3D32" w:rsidRPr="00C176F8">
              <w:rPr>
                <w:rFonts w:ascii="Tahoma" w:hAnsi="Tahoma" w:cs="Tahoma"/>
                <w:sz w:val="14"/>
                <w:szCs w:val="14"/>
                <w:shd w:val="clear" w:color="auto" w:fill="FFFFFF"/>
                <w:lang w:val="it-IT"/>
              </w:rPr>
              <w:t>Flavio Manenti</w:t>
            </w:r>
            <w:r w:rsidR="00304CE8" w:rsidRPr="00C176F8">
              <w:rPr>
                <w:rFonts w:ascii="Tahoma" w:hAnsi="Tahoma" w:cs="Tahoma"/>
                <w:sz w:val="14"/>
                <w:szCs w:val="14"/>
                <w:shd w:val="clear" w:color="auto" w:fill="FFFFFF"/>
                <w:lang w:val="it-IT"/>
              </w:rPr>
              <w:t>,</w:t>
            </w:r>
            <w:r w:rsidR="001D3D32" w:rsidRPr="00C176F8">
              <w:rPr>
                <w:rFonts w:ascii="Tahoma" w:hAnsi="Tahoma" w:cs="Tahoma"/>
                <w:sz w:val="14"/>
                <w:szCs w:val="14"/>
                <w:shd w:val="clear" w:color="auto" w:fill="FFFFFF"/>
                <w:lang w:val="it-IT"/>
              </w:rPr>
              <w:t xml:space="preserve"> </w:t>
            </w:r>
            <w:r w:rsidR="007D610D" w:rsidRPr="00C176F8">
              <w:rPr>
                <w:rFonts w:ascii="Tahoma" w:hAnsi="Tahoma" w:cs="Tahoma"/>
                <w:sz w:val="14"/>
                <w:szCs w:val="14"/>
                <w:shd w:val="clear" w:color="auto" w:fill="FFFFFF"/>
                <w:lang w:val="it-IT"/>
              </w:rPr>
              <w:t>Gabriele Pannocchia, Almerinda di Benedetto</w:t>
            </w:r>
          </w:p>
          <w:p w14:paraId="1B0F1814" w14:textId="7C54DC3A" w:rsidR="000A03B2" w:rsidRPr="00C176F8" w:rsidRDefault="00AA7D26" w:rsidP="00AA7D26">
            <w:pPr>
              <w:tabs>
                <w:tab w:val="left" w:pos="-108"/>
              </w:tabs>
              <w:spacing w:line="140" w:lineRule="atLeast"/>
              <w:ind w:left="-107"/>
              <w:jc w:val="left"/>
            </w:pPr>
            <w:r w:rsidRPr="00C176F8">
              <w:rPr>
                <w:rFonts w:ascii="Tahoma" w:hAnsi="Tahoma" w:cs="Tahoma"/>
                <w:iCs/>
                <w:sz w:val="14"/>
                <w:szCs w:val="14"/>
                <w:lang w:eastAsia="it-IT"/>
              </w:rPr>
              <w:t>Copyright © 202</w:t>
            </w:r>
            <w:r w:rsidR="00994C6A" w:rsidRPr="00C176F8">
              <w:rPr>
                <w:rFonts w:ascii="Tahoma" w:hAnsi="Tahoma" w:cs="Tahoma"/>
                <w:iCs/>
                <w:sz w:val="14"/>
                <w:szCs w:val="14"/>
                <w:lang w:eastAsia="it-IT"/>
              </w:rPr>
              <w:t>5</w:t>
            </w:r>
            <w:r w:rsidRPr="00C176F8">
              <w:rPr>
                <w:rFonts w:ascii="Tahoma" w:hAnsi="Tahoma" w:cs="Tahoma"/>
                <w:iCs/>
                <w:sz w:val="14"/>
                <w:szCs w:val="14"/>
                <w:lang w:eastAsia="it-IT"/>
              </w:rPr>
              <w:t>, AIDIC Servizi S.r.l.</w:t>
            </w:r>
            <w:r w:rsidRPr="00C176F8">
              <w:rPr>
                <w:rFonts w:ascii="Tahoma" w:hAnsi="Tahoma" w:cs="Tahoma"/>
                <w:iCs/>
                <w:sz w:val="14"/>
                <w:szCs w:val="14"/>
                <w:lang w:eastAsia="it-IT"/>
              </w:rPr>
              <w:br/>
            </w:r>
            <w:r w:rsidRPr="00C176F8">
              <w:rPr>
                <w:rFonts w:ascii="Tahoma" w:hAnsi="Tahoma" w:cs="Tahoma"/>
                <w:b/>
                <w:iCs/>
                <w:sz w:val="14"/>
                <w:szCs w:val="14"/>
                <w:lang w:eastAsia="it-IT"/>
              </w:rPr>
              <w:t>ISBN</w:t>
            </w:r>
            <w:r w:rsidRPr="00C176F8">
              <w:rPr>
                <w:rFonts w:ascii="Tahoma" w:hAnsi="Tahoma" w:cs="Tahoma"/>
                <w:iCs/>
                <w:sz w:val="14"/>
                <w:szCs w:val="14"/>
                <w:lang w:eastAsia="it-IT"/>
              </w:rPr>
              <w:t xml:space="preserve"> </w:t>
            </w:r>
            <w:r w:rsidR="003B49CD" w:rsidRPr="00C176F8">
              <w:rPr>
                <w:rFonts w:ascii="Tahoma" w:hAnsi="Tahoma" w:cs="Tahoma"/>
                <w:sz w:val="14"/>
                <w:szCs w:val="14"/>
              </w:rPr>
              <w:t>979-12-81206-1</w:t>
            </w:r>
            <w:r w:rsidR="00994C6A" w:rsidRPr="00C176F8">
              <w:rPr>
                <w:rFonts w:ascii="Tahoma" w:hAnsi="Tahoma" w:cs="Tahoma"/>
                <w:sz w:val="14"/>
                <w:szCs w:val="14"/>
              </w:rPr>
              <w:t>7</w:t>
            </w:r>
            <w:r w:rsidR="003B49CD" w:rsidRPr="00C176F8">
              <w:rPr>
                <w:rFonts w:ascii="Tahoma" w:hAnsi="Tahoma" w:cs="Tahoma"/>
                <w:sz w:val="14"/>
                <w:szCs w:val="14"/>
              </w:rPr>
              <w:t>-</w:t>
            </w:r>
            <w:r w:rsidR="00994C6A" w:rsidRPr="00C176F8">
              <w:rPr>
                <w:rFonts w:ascii="Tahoma" w:hAnsi="Tahoma" w:cs="Tahoma"/>
                <w:sz w:val="14"/>
                <w:szCs w:val="14"/>
              </w:rPr>
              <w:t>5</w:t>
            </w:r>
            <w:r w:rsidRPr="00C176F8">
              <w:rPr>
                <w:rFonts w:ascii="Tahoma" w:hAnsi="Tahoma" w:cs="Tahoma"/>
                <w:iCs/>
                <w:sz w:val="14"/>
                <w:szCs w:val="14"/>
                <w:lang w:eastAsia="it-IT"/>
              </w:rPr>
              <w:t xml:space="preserve">; </w:t>
            </w:r>
            <w:r w:rsidRPr="00C176F8">
              <w:rPr>
                <w:rFonts w:ascii="Tahoma" w:hAnsi="Tahoma" w:cs="Tahoma"/>
                <w:b/>
                <w:iCs/>
                <w:sz w:val="14"/>
                <w:szCs w:val="14"/>
                <w:lang w:eastAsia="it-IT"/>
              </w:rPr>
              <w:t>ISSN</w:t>
            </w:r>
            <w:r w:rsidRPr="00C176F8">
              <w:rPr>
                <w:rFonts w:ascii="Tahoma" w:hAnsi="Tahoma" w:cs="Tahoma"/>
                <w:iCs/>
                <w:sz w:val="14"/>
                <w:szCs w:val="14"/>
                <w:lang w:eastAsia="it-IT"/>
              </w:rPr>
              <w:t xml:space="preserve"> 2283-9216</w:t>
            </w:r>
          </w:p>
        </w:tc>
      </w:tr>
      <w:bookmarkEnd w:id="0"/>
    </w:tbl>
    <w:p w14:paraId="2BCCDD0A" w14:textId="77777777" w:rsidR="00D065A7" w:rsidRDefault="00D065A7" w:rsidP="00B57E6F">
      <w:pPr>
        <w:pStyle w:val="CETAuthors"/>
        <w:rPr>
          <w:noProof w:val="0"/>
          <w:sz w:val="32"/>
        </w:rPr>
      </w:pPr>
    </w:p>
    <w:p w14:paraId="39262555" w14:textId="49DEEEC8" w:rsidR="002937EC" w:rsidRPr="00C176F8" w:rsidRDefault="002937EC" w:rsidP="00B57E6F">
      <w:pPr>
        <w:pStyle w:val="CETAuthors"/>
        <w:rPr>
          <w:noProof w:val="0"/>
          <w:sz w:val="32"/>
        </w:rPr>
      </w:pPr>
      <w:r w:rsidRPr="00C176F8">
        <w:rPr>
          <w:noProof w:val="0"/>
          <w:sz w:val="32"/>
        </w:rPr>
        <w:t xml:space="preserve">Effect of Cyanide as a Nutrient Source on bacteria, </w:t>
      </w:r>
      <w:r w:rsidRPr="00C176F8">
        <w:rPr>
          <w:i/>
          <w:noProof w:val="0"/>
          <w:sz w:val="32"/>
        </w:rPr>
        <w:t>Bacillus Cereus,</w:t>
      </w:r>
      <w:r w:rsidRPr="00C176F8">
        <w:rPr>
          <w:noProof w:val="0"/>
          <w:sz w:val="32"/>
        </w:rPr>
        <w:t xml:space="preserve"> </w:t>
      </w:r>
      <w:r w:rsidR="009347B9" w:rsidRPr="00C176F8">
        <w:rPr>
          <w:noProof w:val="0"/>
          <w:sz w:val="32"/>
        </w:rPr>
        <w:t xml:space="preserve">for use </w:t>
      </w:r>
      <w:r w:rsidRPr="00C176F8">
        <w:rPr>
          <w:noProof w:val="0"/>
          <w:sz w:val="32"/>
        </w:rPr>
        <w:t>in Bioleaching of Gold Tailings</w:t>
      </w:r>
    </w:p>
    <w:p w14:paraId="0488FED2" w14:textId="21382B50" w:rsidR="00B57E6F" w:rsidRPr="00C176F8" w:rsidRDefault="000B39C1" w:rsidP="00F17369">
      <w:pPr>
        <w:pStyle w:val="CETAuthors"/>
      </w:pPr>
      <w:r w:rsidRPr="00C176F8">
        <w:t>Miranda Mpeta</w:t>
      </w:r>
      <w:r w:rsidR="00C36F91">
        <w:t>*</w:t>
      </w:r>
      <w:r w:rsidRPr="00C176F8">
        <w:t xml:space="preserve">, </w:t>
      </w:r>
      <w:r w:rsidR="00935ED3">
        <w:t xml:space="preserve">Job T.Tendenedzai, </w:t>
      </w:r>
      <w:r w:rsidRPr="00C176F8">
        <w:t>Shepherd M. Tichapondwa, Evans M.N. Chirwa</w:t>
      </w:r>
    </w:p>
    <w:p w14:paraId="73F1267A" w14:textId="1695BEE8" w:rsidR="00B57E6F" w:rsidRPr="00C176F8" w:rsidRDefault="000B39C1" w:rsidP="00F17369">
      <w:pPr>
        <w:pStyle w:val="CETAddress"/>
      </w:pPr>
      <w:r w:rsidRPr="00C176F8">
        <w:t>Water Utilisati</w:t>
      </w:r>
      <w:r w:rsidR="004C0DF2">
        <w:t>on and Environmental Eng</w:t>
      </w:r>
      <w:r w:rsidRPr="00C176F8">
        <w:t xml:space="preserve"> Division, Department of Chemical Engineering, University of Pretoria,</w:t>
      </w:r>
      <w:r w:rsidR="004C0DF2">
        <w:t xml:space="preserve"> </w:t>
      </w:r>
      <w:r w:rsidRPr="00C176F8">
        <w:t xml:space="preserve">0002. </w:t>
      </w:r>
      <w:r w:rsidRPr="00C176F8">
        <w:cr/>
      </w:r>
      <w:r w:rsidR="00C36F91">
        <w:t>u24054276@tuks.co.za</w:t>
      </w:r>
    </w:p>
    <w:p w14:paraId="005C92F5" w14:textId="77777777" w:rsidR="001944F1" w:rsidRDefault="001944F1" w:rsidP="001944F1">
      <w:pPr>
        <w:pStyle w:val="CETnumberingbullets"/>
        <w:numPr>
          <w:ilvl w:val="0"/>
          <w:numId w:val="0"/>
        </w:numPr>
        <w:ind w:left="113"/>
        <w:rPr>
          <w:b/>
          <w:lang w:val="en-US"/>
        </w:rPr>
      </w:pPr>
    </w:p>
    <w:p w14:paraId="14BE9465" w14:textId="58E16846" w:rsidR="00050CF0" w:rsidRPr="00507309" w:rsidRDefault="001944F1" w:rsidP="00507309">
      <w:pPr>
        <w:pStyle w:val="CETnumberingbullets"/>
        <w:numPr>
          <w:ilvl w:val="0"/>
          <w:numId w:val="0"/>
        </w:numPr>
        <w:ind w:left="113"/>
        <w:jc w:val="both"/>
        <w:rPr>
          <w:rFonts w:cs="Arial"/>
          <w:lang w:val="en-US" w:eastAsia="en-GB"/>
        </w:rPr>
      </w:pPr>
      <w:r w:rsidRPr="00683C3A">
        <w:rPr>
          <w:rFonts w:cs="Arial"/>
          <w:lang w:eastAsia="en-GB"/>
        </w:rPr>
        <w:t>Mining generates tailings and wastewaters containing extractable gold alongside toxic contaminants such as cyanide (CN</w:t>
      </w:r>
      <w:r w:rsidRPr="00683C3A">
        <w:rPr>
          <w:rFonts w:ascii="Cambria Math" w:hAnsi="Cambria Math" w:cs="Cambria Math"/>
          <w:lang w:eastAsia="en-GB"/>
        </w:rPr>
        <w:t>⁻</w:t>
      </w:r>
      <w:r w:rsidRPr="00683C3A">
        <w:rPr>
          <w:rFonts w:cs="Arial"/>
          <w:lang w:eastAsia="en-GB"/>
        </w:rPr>
        <w:t>), thiocyanates (SCN</w:t>
      </w:r>
      <w:r w:rsidRPr="00683C3A">
        <w:rPr>
          <w:rFonts w:ascii="Cambria Math" w:hAnsi="Cambria Math" w:cs="Cambria Math"/>
          <w:lang w:eastAsia="en-GB"/>
        </w:rPr>
        <w:t>⁻</w:t>
      </w:r>
      <w:r w:rsidRPr="00683C3A">
        <w:rPr>
          <w:rFonts w:cs="Arial"/>
          <w:lang w:eastAsia="en-GB"/>
        </w:rPr>
        <w:t xml:space="preserve">), and other heavy metals. Conventional cyanidation struggles to process low-grade ores and high-sulphide refractory gold tailings due to cyanide's reactivity with non-gold minerals. This study evaluated the potential of </w:t>
      </w:r>
      <w:r w:rsidRPr="00683C3A">
        <w:rPr>
          <w:rFonts w:cs="Arial"/>
          <w:i/>
          <w:iCs/>
          <w:lang w:eastAsia="en-GB"/>
        </w:rPr>
        <w:t>Bacillus cereus</w:t>
      </w:r>
      <w:r w:rsidRPr="00683C3A">
        <w:rPr>
          <w:rFonts w:cs="Arial"/>
          <w:lang w:eastAsia="en-GB"/>
        </w:rPr>
        <w:t xml:space="preserve"> to utilize CN</w:t>
      </w:r>
      <w:r w:rsidRPr="00683C3A">
        <w:rPr>
          <w:rFonts w:ascii="Cambria Math" w:hAnsi="Cambria Math" w:cs="Cambria Math"/>
          <w:lang w:eastAsia="en-GB"/>
        </w:rPr>
        <w:t>⁻</w:t>
      </w:r>
      <w:r w:rsidRPr="00683C3A">
        <w:rPr>
          <w:rFonts w:cs="Arial"/>
          <w:lang w:eastAsia="en-GB"/>
        </w:rPr>
        <w:t xml:space="preserve"> as a growth substrate compared to a conventional carbon source like glucose. Aerobic batch experiments were conducted under varying conditions of pH, temperature, and initial CN</w:t>
      </w:r>
      <w:r w:rsidRPr="00683C3A">
        <w:rPr>
          <w:rFonts w:ascii="Cambria Math" w:hAnsi="Cambria Math" w:cs="Cambria Math"/>
          <w:lang w:eastAsia="en-GB"/>
        </w:rPr>
        <w:t>⁻</w:t>
      </w:r>
      <w:r w:rsidRPr="00683C3A">
        <w:rPr>
          <w:rFonts w:cs="Arial"/>
          <w:lang w:eastAsia="en-GB"/>
        </w:rPr>
        <w:t xml:space="preserve"> </w:t>
      </w:r>
      <w:r w:rsidR="0083778C">
        <w:rPr>
          <w:rFonts w:cs="Arial"/>
          <w:lang w:eastAsia="en-GB"/>
        </w:rPr>
        <w:t>concentra</w:t>
      </w:r>
      <w:r w:rsidR="0078637B">
        <w:rPr>
          <w:rFonts w:cs="Arial"/>
          <w:lang w:eastAsia="en-GB"/>
        </w:rPr>
        <w:t>ti</w:t>
      </w:r>
      <w:r w:rsidRPr="00683C3A">
        <w:rPr>
          <w:rFonts w:cs="Arial"/>
          <w:lang w:eastAsia="en-GB"/>
        </w:rPr>
        <w:t>ons (1, 3, and 5 mmol</w:t>
      </w:r>
      <w:r w:rsidR="00A92DF5">
        <w:rPr>
          <w:rFonts w:cs="Arial"/>
          <w:lang w:eastAsia="en-GB"/>
        </w:rPr>
        <w:t>/L</w:t>
      </w:r>
      <w:r w:rsidRPr="00683C3A">
        <w:rPr>
          <w:rFonts w:cs="Arial"/>
          <w:lang w:eastAsia="en-GB"/>
        </w:rPr>
        <w:t>). Results showed that CN</w:t>
      </w:r>
      <w:r w:rsidRPr="00683C3A">
        <w:rPr>
          <w:rFonts w:ascii="Cambria Math" w:hAnsi="Cambria Math" w:cs="Cambria Math"/>
          <w:lang w:eastAsia="en-GB"/>
        </w:rPr>
        <w:t>⁻</w:t>
      </w:r>
      <w:r w:rsidRPr="00683C3A">
        <w:rPr>
          <w:rFonts w:cs="Arial"/>
          <w:lang w:eastAsia="en-GB"/>
        </w:rPr>
        <w:t xml:space="preserve"> supported </w:t>
      </w:r>
      <w:r w:rsidRPr="00683C3A">
        <w:rPr>
          <w:rFonts w:cs="Arial"/>
          <w:i/>
          <w:iCs/>
          <w:lang w:eastAsia="en-GB"/>
        </w:rPr>
        <w:t>B. cereus</w:t>
      </w:r>
      <w:r w:rsidRPr="00683C3A">
        <w:rPr>
          <w:rFonts w:cs="Arial"/>
          <w:lang w:eastAsia="en-GB"/>
        </w:rPr>
        <w:t xml:space="preserve"> growth, with optimal conditions at pH 7.5–8.5 and 35°C, achieving 95 % cyanide removal within 72 h. While glucose enhanced early metabolic activity, it was depleted within 8 h, emphasizing cyanide's role as a </w:t>
      </w:r>
      <w:r w:rsidR="000562CD">
        <w:rPr>
          <w:rFonts w:cs="Arial"/>
          <w:lang w:eastAsia="en-GB"/>
        </w:rPr>
        <w:t>potential</w:t>
      </w:r>
      <w:r w:rsidRPr="00683C3A">
        <w:rPr>
          <w:rFonts w:cs="Arial"/>
          <w:lang w:eastAsia="en-GB"/>
        </w:rPr>
        <w:t xml:space="preserve"> substrate. These findings </w:t>
      </w:r>
      <w:r w:rsidRPr="00683C3A">
        <w:rPr>
          <w:rFonts w:cs="Arial"/>
          <w:lang w:val="en-US" w:eastAsia="en-GB"/>
        </w:rPr>
        <w:t>will contribute to optimizing bioleaching processes for sustainable gold extraction and bioremediation of cyanide-contaminated environments thus enhancing the environmental feasibi</w:t>
      </w:r>
      <w:r w:rsidR="000562CD">
        <w:rPr>
          <w:rFonts w:cs="Arial"/>
          <w:lang w:val="en-US" w:eastAsia="en-GB"/>
        </w:rPr>
        <w:t>lity of mining waste management</w:t>
      </w:r>
      <w:r w:rsidRPr="00683C3A">
        <w:rPr>
          <w:rFonts w:cs="Arial"/>
          <w:lang w:val="en-US" w:eastAsia="en-GB"/>
        </w:rPr>
        <w:t>.</w:t>
      </w:r>
    </w:p>
    <w:p w14:paraId="1C2972FE" w14:textId="079421CD" w:rsidR="00050CF0" w:rsidRPr="00507309" w:rsidRDefault="00600535" w:rsidP="00050CF0">
      <w:pPr>
        <w:pStyle w:val="CETHeading1"/>
        <w:rPr>
          <w:lang w:val="en-GB"/>
        </w:rPr>
      </w:pPr>
      <w:r w:rsidRPr="00C176F8">
        <w:t>Introduction</w:t>
      </w:r>
    </w:p>
    <w:p w14:paraId="2BA12ADF" w14:textId="77777777" w:rsidR="001944F1" w:rsidRPr="001944F1" w:rsidRDefault="001944F1" w:rsidP="001944F1">
      <w:pPr>
        <w:pStyle w:val="CETBodytext"/>
        <w:rPr>
          <w:rFonts w:eastAsia="Calibri"/>
          <w:lang w:val="en-GB"/>
        </w:rPr>
      </w:pPr>
      <w:r w:rsidRPr="001944F1">
        <w:rPr>
          <w:rFonts w:eastAsia="Calibri"/>
          <w:lang w:val="en-GB"/>
        </w:rPr>
        <w:t>Mining activities have resulted in the accumulation of large deposits of mine tailings that contain extractable gold of significant market value (Pineda et al., 2023). However, much of this gold exists in matrices with other minerals, such as sulphides, sulphates, carbonates, and silicates, where it is strongly adsorbed. This leads to gold encapsulation or passivation, increasing reagent consumption and reducing gold recovery (Bazhko and Yahorava, 2017). Conventional cyanidation methods are inefficient for low-grade ores and high-sulphide refractory gold tailings because cyanide preferentially reacts with other minerals, such as copper and sulphides, instead of gold, further limiting its availability for gold extraction (Soto-Uribe et al., 2023).</w:t>
      </w:r>
    </w:p>
    <w:p w14:paraId="60F68A5F" w14:textId="1118EC50" w:rsidR="001944F1" w:rsidRPr="001944F1" w:rsidRDefault="001944F1" w:rsidP="001944F1">
      <w:pPr>
        <w:pStyle w:val="CETBodytext"/>
        <w:rPr>
          <w:rFonts w:eastAsia="Calibri"/>
          <w:lang w:val="en-GB"/>
        </w:rPr>
      </w:pPr>
      <w:r w:rsidRPr="001944F1">
        <w:rPr>
          <w:rFonts w:eastAsia="Calibri"/>
          <w:lang w:val="en-GB"/>
        </w:rPr>
        <w:t>In recent years, bioleaching has emerged as a promising eco-friendly alternative for extracting valuable metals from such challenging ores and tailings. Bioleaching, also known as bio</w:t>
      </w:r>
      <w:r w:rsidR="00A92DF5">
        <w:rPr>
          <w:rFonts w:eastAsia="Calibri"/>
          <w:lang w:val="en-GB"/>
        </w:rPr>
        <w:t xml:space="preserve">- </w:t>
      </w:r>
      <w:r w:rsidRPr="001944F1">
        <w:rPr>
          <w:rFonts w:eastAsia="Calibri"/>
          <w:lang w:val="en-GB"/>
        </w:rPr>
        <w:t>mining, is a biotechnological process that uses microorganisms to recover metals from ores and mineral concentrates. This method is particularly effective for low-grade ores and tailings that are uneconomical to process with conventional techniques (Saldaña et al., 2023). Its advantages include reduced environmental impact and enhanced recovery efficiency, particularly for gold encapsulated in high-sulphide matrices</w:t>
      </w:r>
      <w:r w:rsidR="000562CD">
        <w:rPr>
          <w:rFonts w:eastAsia="Calibri"/>
          <w:lang w:val="en-GB"/>
        </w:rPr>
        <w:t xml:space="preserve"> (Mutimutema et al., 2022)</w:t>
      </w:r>
      <w:r w:rsidRPr="001944F1">
        <w:rPr>
          <w:rFonts w:eastAsia="Calibri"/>
          <w:lang w:val="en-GB"/>
        </w:rPr>
        <w:t>. However, bioleaching efficiency depends on several factors, including temperature, pH, oxidizing conditions, nutrient availability, surface area, and the presence of toxic ions such as heavy metals (Ubaldini et al., 1997).</w:t>
      </w:r>
    </w:p>
    <w:p w14:paraId="6D2744C9" w14:textId="7873D74F" w:rsidR="001944F1" w:rsidRPr="001944F1" w:rsidRDefault="001944F1" w:rsidP="001944F1">
      <w:pPr>
        <w:pStyle w:val="CETBodytext"/>
        <w:rPr>
          <w:rFonts w:eastAsia="Calibri"/>
          <w:lang w:val="en-GB"/>
        </w:rPr>
      </w:pPr>
      <w:r w:rsidRPr="001944F1">
        <w:rPr>
          <w:rFonts w:eastAsia="Calibri"/>
          <w:lang w:val="en-GB"/>
        </w:rPr>
        <w:t>The role of environmental conditions and nutrient sources in bioleaching has been extensively studied, particularly for acidophilic and sulphide-oxidizing bacteria. For example, mixed microbial cultures have shown superior performance compared to pure cultures due to their adaptability and synergistic interactions (Chen et al., 2021</w:t>
      </w:r>
      <w:r w:rsidR="007F0A21">
        <w:rPr>
          <w:rFonts w:eastAsia="Calibri"/>
          <w:lang w:val="en-GB"/>
        </w:rPr>
        <w:t>). This study</w:t>
      </w:r>
      <w:r w:rsidRPr="001944F1">
        <w:rPr>
          <w:rFonts w:eastAsia="Calibri"/>
          <w:lang w:val="en-GB"/>
        </w:rPr>
        <w:t xml:space="preserve"> demonstrate the importance of optimizing parameters such as pH, temperature, and lixivium return.</w:t>
      </w:r>
      <w:r w:rsidRPr="001944F1">
        <w:rPr>
          <w:rFonts w:eastAsia="Calibri"/>
        </w:rPr>
        <w:t xml:space="preserve"> </w:t>
      </w:r>
      <w:r w:rsidRPr="001944F1">
        <w:rPr>
          <w:rFonts w:eastAsia="Calibri"/>
          <w:lang w:val="en-GB"/>
        </w:rPr>
        <w:t>Understanding how these environmental factors coupled with the nutrient sources impact the bacteria in the context of bioleaching is essential for optimizing the process and improving its efficiency and yield (Sadeghi, et al., 2021). Despite this progress, limited research has focused on the bioleaching of high-</w:t>
      </w:r>
      <w:r w:rsidR="00A92DF5">
        <w:rPr>
          <w:rFonts w:eastAsia="Calibri"/>
          <w:lang w:val="en-GB"/>
        </w:rPr>
        <w:t xml:space="preserve">sulphide </w:t>
      </w:r>
      <w:r w:rsidRPr="001944F1">
        <w:rPr>
          <w:rFonts w:eastAsia="Calibri"/>
          <w:lang w:val="en-GB"/>
        </w:rPr>
        <w:t>refractory gold ores or tailings, particularly under extreme conditions such as high cyanide concentrations.</w:t>
      </w:r>
    </w:p>
    <w:p w14:paraId="1686D0E7" w14:textId="77365965" w:rsidR="001944F1" w:rsidRPr="001944F1" w:rsidRDefault="001944F1" w:rsidP="001944F1">
      <w:pPr>
        <w:pStyle w:val="CETBodytext"/>
        <w:rPr>
          <w:rFonts w:eastAsia="Calibri"/>
          <w:lang w:val="en-GB"/>
        </w:rPr>
      </w:pPr>
      <w:r w:rsidRPr="001944F1">
        <w:rPr>
          <w:rFonts w:eastAsia="Calibri"/>
          <w:lang w:val="en-GB"/>
        </w:rPr>
        <w:t xml:space="preserve">Cyanide, a common contaminant in mine tailings, is highly toxic to living organisms as it forms stable complexes with transition metals essential for protein function. However, certain bacteria have developed mechanisms to </w:t>
      </w:r>
      <w:r w:rsidRPr="001944F1">
        <w:rPr>
          <w:rFonts w:eastAsia="Calibri"/>
          <w:lang w:val="en-GB"/>
        </w:rPr>
        <w:lastRenderedPageBreak/>
        <w:t>tolerate and even metabolize cyanide. These mechanisms include a cyanide-insensitive respiratory chain, siderophore-mediated iron acquisition, and cyanide assimilation pathways (Huertas et al., 2006). By utilizing cyanide as a nutrient or electron source, these bacteria can potentially degrade cyanide while sustaining growth, making them ideal for applications in both bioleaching and bioremediation of cyanide-contaminated environments.</w:t>
      </w:r>
      <w:r w:rsidRPr="001944F1">
        <w:rPr>
          <w:rFonts w:eastAsia="Calibri"/>
        </w:rPr>
        <w:t xml:space="preserve"> </w:t>
      </w:r>
      <w:r w:rsidRPr="001944F1">
        <w:rPr>
          <w:rFonts w:eastAsia="Calibri"/>
          <w:lang w:val="en-GB"/>
        </w:rPr>
        <w:t>Local mixed culture consortia, consisting of diverse microbial species native to the mining environment, have shown promise in enhancing the bioleaching process due to their adaptability and potential synergistic interactions</w:t>
      </w:r>
      <w:r w:rsidR="000562CD">
        <w:rPr>
          <w:rFonts w:eastAsia="Calibri"/>
          <w:lang w:val="en-GB"/>
        </w:rPr>
        <w:t xml:space="preserve"> (Brune et al., 2012)</w:t>
      </w:r>
      <w:r w:rsidRPr="001944F1">
        <w:rPr>
          <w:rFonts w:eastAsia="Calibri"/>
          <w:lang w:val="en-GB"/>
        </w:rPr>
        <w:t xml:space="preserve">. However, their performance and stability of the process under varying environmental conditions have not been thoroughly </w:t>
      </w:r>
      <w:r w:rsidR="000562CD">
        <w:rPr>
          <w:rFonts w:eastAsia="Calibri"/>
          <w:lang w:val="en-GB"/>
        </w:rPr>
        <w:t xml:space="preserve">investigated. </w:t>
      </w:r>
    </w:p>
    <w:p w14:paraId="4D08E763" w14:textId="77777777" w:rsidR="001944F1" w:rsidRPr="001944F1" w:rsidRDefault="001944F1" w:rsidP="001944F1">
      <w:pPr>
        <w:pStyle w:val="CETBodytext"/>
        <w:rPr>
          <w:rFonts w:eastAsia="Calibri"/>
          <w:lang w:val="en-GB"/>
        </w:rPr>
      </w:pPr>
      <w:r w:rsidRPr="001944F1">
        <w:rPr>
          <w:rFonts w:eastAsia="Calibri"/>
          <w:lang w:val="en-GB"/>
        </w:rPr>
        <w:t xml:space="preserve">This study aimed to investigate the ability of </w:t>
      </w:r>
      <w:r w:rsidRPr="001944F1">
        <w:rPr>
          <w:rFonts w:eastAsia="Calibri"/>
          <w:i/>
          <w:lang w:val="en-GB"/>
        </w:rPr>
        <w:t>Bacillus cereus</w:t>
      </w:r>
      <w:r w:rsidRPr="001944F1">
        <w:rPr>
          <w:rFonts w:eastAsia="Calibri"/>
          <w:lang w:val="en-GB"/>
        </w:rPr>
        <w:t xml:space="preserve"> to utilize cyanide as a growth substrate while degrading cyanide and facilitating gold bioleaching from high-sulphide refractory tailings. Key objectives included evaluating the influence of environmental conditions such as pH, temperature, and cyanide concentration on bacterial growth and cyanide degradation. By leveraging cyanide as a nutrient source, this research seeks to optimize bioleaching processes, reduce reliance on conventional carbon sources like glucose, and contribute to sustainable mining waste management and environmental remediation.</w:t>
      </w:r>
    </w:p>
    <w:p w14:paraId="5901B4F1" w14:textId="17BD61AC" w:rsidR="001944F1" w:rsidRDefault="001944F1" w:rsidP="001944F1">
      <w:pPr>
        <w:pStyle w:val="CETHeading1"/>
      </w:pPr>
      <w:r w:rsidRPr="001944F1">
        <w:t>Materials and Methods</w:t>
      </w:r>
    </w:p>
    <w:p w14:paraId="5826E28E" w14:textId="5F073496" w:rsidR="00A92DF5" w:rsidRDefault="00A068DD" w:rsidP="00A92DF5">
      <w:pPr>
        <w:pStyle w:val="CETBodytext"/>
      </w:pPr>
      <w:r>
        <w:t xml:space="preserve">Bacteria isolated from gold mine tailings was characterized, operating conditions </w:t>
      </w:r>
      <w:r w:rsidR="00A0413F">
        <w:t xml:space="preserve">optimized </w:t>
      </w:r>
      <w:r>
        <w:t xml:space="preserve">and was utilized </w:t>
      </w:r>
      <w:r w:rsidR="00A0413F">
        <w:t>in the degradation of various concentrations of cyanide and glucose as described below.</w:t>
      </w:r>
    </w:p>
    <w:p w14:paraId="3DD6A260" w14:textId="77777777" w:rsidR="00A92DF5" w:rsidRPr="00A92DF5" w:rsidRDefault="00A92DF5" w:rsidP="00A92DF5">
      <w:pPr>
        <w:pStyle w:val="CETBodytext"/>
      </w:pPr>
    </w:p>
    <w:p w14:paraId="31876847" w14:textId="77777777" w:rsidR="001944F1" w:rsidRPr="001944F1" w:rsidRDefault="001944F1" w:rsidP="001944F1">
      <w:pPr>
        <w:numPr>
          <w:ilvl w:val="2"/>
          <w:numId w:val="1"/>
        </w:numPr>
        <w:spacing w:line="276" w:lineRule="auto"/>
        <w:rPr>
          <w:rFonts w:cs="Arial"/>
          <w:b/>
          <w:bCs/>
          <w:sz w:val="20"/>
          <w:lang w:val="en-US"/>
        </w:rPr>
      </w:pPr>
      <w:r w:rsidRPr="001944F1">
        <w:rPr>
          <w:rFonts w:cs="Arial"/>
          <w:b/>
          <w:bCs/>
          <w:sz w:val="20"/>
          <w:lang w:val="en-US"/>
        </w:rPr>
        <w:t>Sampling and source of microorganism</w:t>
      </w:r>
    </w:p>
    <w:p w14:paraId="060A85AB" w14:textId="13580667" w:rsidR="000B2A52" w:rsidRDefault="001944F1" w:rsidP="00FA1B14">
      <w:pPr>
        <w:spacing w:line="276" w:lineRule="auto"/>
        <w:rPr>
          <w:rFonts w:cs="Arial"/>
          <w:szCs w:val="18"/>
        </w:rPr>
      </w:pPr>
      <w:r w:rsidRPr="001944F1">
        <w:rPr>
          <w:rFonts w:cs="Arial"/>
          <w:szCs w:val="18"/>
        </w:rPr>
        <w:t xml:space="preserve">Samples of the local, adapted cultures were taken as grab samples from the soil at the site of contamination. These were collected from Golden Kopje Mine in Chinhoyi, Zimbabwe and stored in a cooler box at 4 </w:t>
      </w:r>
      <w:r w:rsidRPr="001944F1">
        <w:rPr>
          <w:rFonts w:ascii="Cambria Math" w:hAnsi="Cambria Math" w:cs="Cambria Math"/>
          <w:szCs w:val="18"/>
        </w:rPr>
        <w:t>⁰</w:t>
      </w:r>
      <w:r w:rsidRPr="001944F1">
        <w:rPr>
          <w:rFonts w:cs="Arial"/>
          <w:szCs w:val="18"/>
        </w:rPr>
        <w:t>C.</w:t>
      </w:r>
    </w:p>
    <w:p w14:paraId="51DB5D6E" w14:textId="77777777" w:rsidR="001944F1" w:rsidRDefault="001944F1" w:rsidP="00FA1B14">
      <w:pPr>
        <w:spacing w:line="276" w:lineRule="auto"/>
        <w:rPr>
          <w:rFonts w:cs="Arial"/>
          <w:szCs w:val="18"/>
        </w:rPr>
      </w:pPr>
    </w:p>
    <w:p w14:paraId="698FC368" w14:textId="77777777" w:rsidR="001944F1" w:rsidRPr="001944F1" w:rsidRDefault="001944F1" w:rsidP="001944F1">
      <w:pPr>
        <w:numPr>
          <w:ilvl w:val="2"/>
          <w:numId w:val="1"/>
        </w:numPr>
        <w:spacing w:line="276" w:lineRule="auto"/>
        <w:rPr>
          <w:rFonts w:cs="Arial"/>
          <w:b/>
          <w:szCs w:val="18"/>
          <w:lang w:val="en-US"/>
        </w:rPr>
      </w:pPr>
      <w:r w:rsidRPr="001944F1">
        <w:rPr>
          <w:rFonts w:cs="Arial"/>
          <w:b/>
          <w:szCs w:val="18"/>
          <w:lang w:val="en-US"/>
        </w:rPr>
        <w:t>Growth media</w:t>
      </w:r>
    </w:p>
    <w:p w14:paraId="4B485ADA" w14:textId="5BEF3CA9" w:rsidR="001944F1" w:rsidRDefault="001944F1" w:rsidP="001944F1">
      <w:pPr>
        <w:spacing w:line="276" w:lineRule="auto"/>
        <w:rPr>
          <w:rFonts w:cs="Arial"/>
          <w:bCs/>
          <w:szCs w:val="18"/>
          <w:lang w:val="en-US"/>
        </w:rPr>
      </w:pPr>
      <w:r w:rsidRPr="001944F1">
        <w:rPr>
          <w:rFonts w:cs="Arial"/>
          <w:bCs/>
          <w:szCs w:val="18"/>
          <w:lang w:val="en-US"/>
        </w:rPr>
        <w:t>Tryptone Soy Agar (TSA) and Tryptone Soy Broth (TSB) (Oxoid Ltd., Basingstoke, Hants, UK) were used as the primary growth media. TSA was prepared by dissolving 40 g of TSA powder in 1 L of distilled water, while TSB was prepared by dissolving 30 g of TSB powder in 1 L of distilled water. Both media were sterilized by autoclaving at 121 °C and 4 MPa for 15 minutes (Mangwandi et al., 2022)</w:t>
      </w:r>
      <w:r w:rsidR="009347B9">
        <w:rPr>
          <w:rFonts w:cs="Arial"/>
          <w:bCs/>
          <w:szCs w:val="18"/>
          <w:lang w:val="en-US"/>
        </w:rPr>
        <w:t>.</w:t>
      </w:r>
      <w:r w:rsidR="00571680" w:rsidRPr="00571680">
        <w:rPr>
          <w:rFonts w:cs="Arial"/>
          <w:bCs/>
          <w:szCs w:val="18"/>
          <w:lang w:val="en-US"/>
        </w:rPr>
        <w:t xml:space="preserve"> </w:t>
      </w:r>
      <w:r w:rsidR="00571680">
        <w:rPr>
          <w:rFonts w:cs="Arial"/>
          <w:bCs/>
          <w:szCs w:val="18"/>
          <w:lang w:val="en-US"/>
        </w:rPr>
        <w:t xml:space="preserve">The mineral salt medium (MSM) used in this study was made up of the following constituent as described by </w:t>
      </w:r>
      <w:r w:rsidR="002015FD">
        <w:rPr>
          <w:rFonts w:cs="Arial"/>
          <w:szCs w:val="18"/>
          <w:lang w:val="en-US"/>
        </w:rPr>
        <w:t xml:space="preserve">Tendenedzai et al., </w:t>
      </w:r>
      <w:r w:rsidR="00571680">
        <w:rPr>
          <w:rFonts w:cs="Arial"/>
          <w:szCs w:val="18"/>
          <w:lang w:val="en-US"/>
        </w:rPr>
        <w:t>(2021).</w:t>
      </w:r>
    </w:p>
    <w:p w14:paraId="087B43A1" w14:textId="77777777" w:rsidR="009347B9" w:rsidRPr="001944F1" w:rsidRDefault="009347B9" w:rsidP="001944F1">
      <w:pPr>
        <w:spacing w:line="276" w:lineRule="auto"/>
        <w:rPr>
          <w:rFonts w:cs="Arial"/>
          <w:bCs/>
          <w:szCs w:val="18"/>
          <w:lang w:val="en-US"/>
        </w:rPr>
      </w:pPr>
    </w:p>
    <w:p w14:paraId="31D23BFB" w14:textId="77777777" w:rsidR="001944F1" w:rsidRPr="001944F1" w:rsidRDefault="001944F1" w:rsidP="001944F1">
      <w:pPr>
        <w:numPr>
          <w:ilvl w:val="2"/>
          <w:numId w:val="1"/>
        </w:numPr>
        <w:spacing w:line="276" w:lineRule="auto"/>
        <w:rPr>
          <w:rFonts w:cs="Arial"/>
          <w:b/>
          <w:bCs/>
          <w:szCs w:val="18"/>
          <w:lang w:val="en-US"/>
        </w:rPr>
      </w:pPr>
      <w:r w:rsidRPr="001944F1">
        <w:rPr>
          <w:rFonts w:cs="Arial"/>
          <w:b/>
          <w:szCs w:val="18"/>
          <w:lang w:val="en-US"/>
        </w:rPr>
        <w:t>Bacterial isolation, cultivation</w:t>
      </w:r>
      <w:r w:rsidRPr="001944F1">
        <w:rPr>
          <w:rFonts w:cs="Arial"/>
          <w:b/>
          <w:bCs/>
          <w:szCs w:val="18"/>
          <w:lang w:val="en-US"/>
        </w:rPr>
        <w:t xml:space="preserve"> and culture storage</w:t>
      </w:r>
    </w:p>
    <w:p w14:paraId="6953DD67" w14:textId="407D3E95" w:rsidR="001944F1" w:rsidRPr="001944F1" w:rsidRDefault="001944F1" w:rsidP="001944F1">
      <w:pPr>
        <w:spacing w:line="276" w:lineRule="auto"/>
        <w:rPr>
          <w:rFonts w:cs="Arial"/>
          <w:bCs/>
          <w:szCs w:val="18"/>
          <w:lang w:val="en-US"/>
        </w:rPr>
      </w:pPr>
      <w:r w:rsidRPr="001944F1">
        <w:rPr>
          <w:rFonts w:cs="Arial"/>
          <w:szCs w:val="18"/>
          <w:lang w:val="en-US"/>
        </w:rPr>
        <w:t xml:space="preserve">For bacterial isolation, 0.2 g of soil samples stored at 4 °C was inoculated into 100 mL of sterile TSB amended with 1000 ppm NaCN and stabilized with 1 M NaOH to prevent HCN volatilization. The cultures were incubated for 24 h at 35 ± 0.2 °C on a rotary shaker at 120 rpm (Tendenedzai et </w:t>
      </w:r>
      <w:r w:rsidRPr="00C472B7">
        <w:rPr>
          <w:rFonts w:cs="Arial"/>
          <w:szCs w:val="18"/>
          <w:lang w:val="en-US"/>
        </w:rPr>
        <w:t>al., 2021).</w:t>
      </w:r>
      <w:r w:rsidR="000562CD">
        <w:rPr>
          <w:rFonts w:cs="Arial"/>
          <w:szCs w:val="18"/>
          <w:lang w:val="en-US"/>
        </w:rPr>
        <w:t xml:space="preserve"> </w:t>
      </w:r>
      <w:r w:rsidRPr="00C472B7">
        <w:rPr>
          <w:rFonts w:cs="Arial"/>
          <w:szCs w:val="18"/>
          <w:lang w:val="en-US"/>
        </w:rPr>
        <w:t>Following</w:t>
      </w:r>
      <w:r w:rsidRPr="001944F1">
        <w:rPr>
          <w:rFonts w:cs="Arial"/>
          <w:szCs w:val="18"/>
          <w:lang w:val="en-US"/>
        </w:rPr>
        <w:t xml:space="preserve"> incubation, the cultures were streaked onto agar plates containing 1000 ppm NaCN and incubated at 35 °C for 24 h. Colonies from the agar plates were gently scraped and transferred to fresh TSB amended with NaCN for another 24 h under the same conditions. For long-term storage, 20 mL of sterile glycerol (20%, v/v) was added to 80 mL of bacterial culture. The mixture was homogenized, transferred into 2 mL screw-cap tubes, and stored at -70 °C as pure stock solutions. For experimental runs, frozen cultures were thawed for 10–20 minutes, streaked onto sterile nutrient agar plates, and incubated at 30 ± 0.2 °C for 24 h.</w:t>
      </w:r>
    </w:p>
    <w:p w14:paraId="5161B4B9" w14:textId="77777777" w:rsidR="001944F1" w:rsidRPr="001944F1" w:rsidRDefault="001944F1" w:rsidP="001944F1">
      <w:pPr>
        <w:spacing w:line="276" w:lineRule="auto"/>
        <w:rPr>
          <w:rFonts w:cs="Arial"/>
          <w:bCs/>
          <w:szCs w:val="18"/>
          <w:lang w:val="en-US"/>
        </w:rPr>
      </w:pPr>
    </w:p>
    <w:p w14:paraId="542F6266" w14:textId="77777777" w:rsidR="001944F1" w:rsidRPr="001944F1" w:rsidRDefault="001944F1" w:rsidP="001944F1">
      <w:pPr>
        <w:numPr>
          <w:ilvl w:val="2"/>
          <w:numId w:val="1"/>
        </w:numPr>
        <w:spacing w:line="276" w:lineRule="auto"/>
        <w:rPr>
          <w:rFonts w:cs="Arial"/>
          <w:b/>
          <w:szCs w:val="18"/>
          <w:lang w:val="en-US"/>
        </w:rPr>
      </w:pPr>
      <w:r w:rsidRPr="001944F1">
        <w:rPr>
          <w:rFonts w:cs="Arial"/>
          <w:b/>
          <w:szCs w:val="18"/>
          <w:lang w:val="en-US"/>
        </w:rPr>
        <w:t>Experimental setup</w:t>
      </w:r>
    </w:p>
    <w:p w14:paraId="38DEC42A" w14:textId="77777777" w:rsidR="001944F1" w:rsidRPr="001944F1" w:rsidRDefault="001944F1" w:rsidP="001944F1">
      <w:pPr>
        <w:spacing w:line="276" w:lineRule="auto"/>
        <w:rPr>
          <w:rFonts w:cs="Arial"/>
          <w:b/>
          <w:bCs/>
          <w:szCs w:val="18"/>
          <w:lang w:val="en-US"/>
        </w:rPr>
      </w:pPr>
      <w:r w:rsidRPr="001944F1">
        <w:rPr>
          <w:rFonts w:cs="Arial"/>
          <w:b/>
          <w:bCs/>
          <w:szCs w:val="18"/>
          <w:lang w:val="en-US"/>
        </w:rPr>
        <w:t>Growth experiments</w:t>
      </w:r>
    </w:p>
    <w:p w14:paraId="55184251" w14:textId="3C155694" w:rsidR="001944F1" w:rsidRPr="001944F1" w:rsidRDefault="001944F1" w:rsidP="001944F1">
      <w:pPr>
        <w:spacing w:line="276" w:lineRule="auto"/>
        <w:rPr>
          <w:rFonts w:cs="Arial"/>
          <w:bCs/>
          <w:szCs w:val="18"/>
          <w:lang w:val="en-US"/>
        </w:rPr>
      </w:pPr>
      <w:bookmarkStart w:id="2" w:name="_Hlk185128410"/>
      <w:r w:rsidRPr="001944F1">
        <w:rPr>
          <w:rFonts w:cs="Arial"/>
          <w:bCs/>
          <w:szCs w:val="18"/>
          <w:lang w:val="en-US"/>
        </w:rPr>
        <w:t>All chemicals used in this study were sourced from Merck (Sigma-Aldrich) unless otherwise stated. A cyanide stock solution of 1000 ppm (20 mmol</w:t>
      </w:r>
      <w:r w:rsidR="00A92DF5">
        <w:rPr>
          <w:rFonts w:cs="Arial"/>
          <w:bCs/>
          <w:szCs w:val="18"/>
          <w:lang w:val="en-US"/>
        </w:rPr>
        <w:t>/L</w:t>
      </w:r>
      <w:r w:rsidRPr="001944F1">
        <w:rPr>
          <w:rFonts w:cs="Arial"/>
          <w:bCs/>
          <w:szCs w:val="18"/>
          <w:lang w:val="en-US"/>
        </w:rPr>
        <w:t>) NaCN was prepared and diluted to varying concentrations (1, 3, and 5 mmol</w:t>
      </w:r>
      <w:r w:rsidR="00A92DF5">
        <w:rPr>
          <w:rFonts w:cs="Arial"/>
          <w:bCs/>
          <w:szCs w:val="18"/>
          <w:lang w:val="en-US"/>
        </w:rPr>
        <w:t>/L</w:t>
      </w:r>
      <w:r w:rsidRPr="001944F1">
        <w:rPr>
          <w:rFonts w:cs="Arial"/>
          <w:bCs/>
          <w:szCs w:val="18"/>
          <w:lang w:val="en-US"/>
        </w:rPr>
        <w:t>) for experimental use. These cyanide solutions were utilized across all experiments conducted. Growth optimization experiments were performed to assess bacterial survival and performance under different conditions. The bacteria were exposed to varying cyanide concentrations (1, 3, and 5 mmol</w:t>
      </w:r>
      <w:r w:rsidR="001C3443">
        <w:rPr>
          <w:rFonts w:cs="Arial"/>
          <w:bCs/>
          <w:szCs w:val="18"/>
          <w:lang w:val="en-US"/>
        </w:rPr>
        <w:t>/L</w:t>
      </w:r>
      <w:r w:rsidRPr="001944F1">
        <w:rPr>
          <w:rFonts w:cs="Arial"/>
          <w:bCs/>
          <w:szCs w:val="18"/>
          <w:lang w:val="en-US"/>
        </w:rPr>
        <w:t>), pH levels (7.5, 8.5, and 9.5 ± 0.2), and temperatures (25</w:t>
      </w:r>
      <w:r w:rsidR="00FB78DB">
        <w:rPr>
          <w:rFonts w:cs="Arial"/>
          <w:bCs/>
          <w:szCs w:val="18"/>
          <w:lang w:val="en-US"/>
        </w:rPr>
        <w:t xml:space="preserve"> </w:t>
      </w:r>
      <w:r w:rsidRPr="001944F1">
        <w:rPr>
          <w:rFonts w:cs="Arial"/>
          <w:bCs/>
          <w:szCs w:val="18"/>
          <w:lang w:val="en-US"/>
        </w:rPr>
        <w:t>°C, 35</w:t>
      </w:r>
      <w:r w:rsidR="00FB78DB">
        <w:rPr>
          <w:rFonts w:cs="Arial"/>
          <w:bCs/>
          <w:szCs w:val="18"/>
          <w:lang w:val="en-US"/>
        </w:rPr>
        <w:t xml:space="preserve"> </w:t>
      </w:r>
      <w:r w:rsidRPr="001944F1">
        <w:rPr>
          <w:rFonts w:cs="Arial"/>
          <w:bCs/>
          <w:szCs w:val="18"/>
          <w:lang w:val="en-US"/>
        </w:rPr>
        <w:t>°C, and 45</w:t>
      </w:r>
      <w:r w:rsidR="00FB78DB">
        <w:rPr>
          <w:rFonts w:cs="Arial"/>
          <w:bCs/>
          <w:szCs w:val="18"/>
          <w:lang w:val="en-US"/>
        </w:rPr>
        <w:t xml:space="preserve"> </w:t>
      </w:r>
      <w:r w:rsidRPr="001944F1">
        <w:rPr>
          <w:rFonts w:cs="Arial"/>
          <w:bCs/>
          <w:szCs w:val="18"/>
          <w:lang w:val="en-US"/>
        </w:rPr>
        <w:t>°C) in an incubator equipped with a rotary shaker. Phosphorus and carbonate buffers were used to adjust and maintain the desired pH levels</w:t>
      </w:r>
      <w:bookmarkEnd w:id="2"/>
    </w:p>
    <w:p w14:paraId="1535EF8E" w14:textId="77777777" w:rsidR="001944F1" w:rsidRPr="001944F1" w:rsidRDefault="001944F1" w:rsidP="001944F1">
      <w:pPr>
        <w:spacing w:line="276" w:lineRule="auto"/>
        <w:rPr>
          <w:rFonts w:cs="Arial"/>
          <w:bCs/>
          <w:szCs w:val="18"/>
          <w:lang w:val="en-US"/>
        </w:rPr>
      </w:pPr>
    </w:p>
    <w:p w14:paraId="5133DC4C" w14:textId="77777777" w:rsidR="001944F1" w:rsidRPr="001944F1" w:rsidRDefault="001944F1" w:rsidP="001944F1">
      <w:pPr>
        <w:spacing w:line="276" w:lineRule="auto"/>
        <w:rPr>
          <w:rFonts w:cs="Arial"/>
          <w:b/>
          <w:bCs/>
          <w:szCs w:val="18"/>
          <w:lang w:val="en-US"/>
        </w:rPr>
      </w:pPr>
      <w:r w:rsidRPr="001944F1">
        <w:rPr>
          <w:rFonts w:cs="Arial"/>
          <w:b/>
          <w:bCs/>
          <w:szCs w:val="18"/>
          <w:lang w:val="en-US"/>
        </w:rPr>
        <w:t>Batch cyanide utilization experiments</w:t>
      </w:r>
    </w:p>
    <w:p w14:paraId="3CD5BEAA" w14:textId="4DF2B3A8" w:rsidR="001944F1" w:rsidRDefault="001944F1" w:rsidP="001944F1">
      <w:pPr>
        <w:spacing w:line="276" w:lineRule="auto"/>
        <w:rPr>
          <w:rFonts w:cs="Arial"/>
          <w:bCs/>
          <w:szCs w:val="18"/>
        </w:rPr>
      </w:pPr>
      <w:r w:rsidRPr="001944F1">
        <w:rPr>
          <w:rFonts w:cs="Arial"/>
          <w:bCs/>
          <w:szCs w:val="18"/>
        </w:rPr>
        <w:t>One of the primary objectives of this study was to assess whether cyanide could serve as a carbon/nitrogen source for Bacillus cereus. Batch experiments were conducted to evaluate the potential of cyanide as a nutrient source in comparison to conventional nutrients. The starting pH was set to 9.5</w:t>
      </w:r>
      <w:r w:rsidR="000562CD">
        <w:rPr>
          <w:rFonts w:cs="Arial"/>
          <w:bCs/>
          <w:szCs w:val="18"/>
        </w:rPr>
        <w:t xml:space="preserve"> (to minimise volatilisation of NaCN)</w:t>
      </w:r>
      <w:r w:rsidRPr="001944F1">
        <w:rPr>
          <w:rFonts w:cs="Arial"/>
          <w:bCs/>
          <w:szCs w:val="18"/>
        </w:rPr>
        <w:t>, and the temperature was maintained at 35</w:t>
      </w:r>
      <w:r w:rsidR="00837742">
        <w:rPr>
          <w:rFonts w:cs="Arial"/>
          <w:bCs/>
          <w:szCs w:val="18"/>
        </w:rPr>
        <w:t xml:space="preserve"> </w:t>
      </w:r>
      <w:r w:rsidRPr="001944F1">
        <w:rPr>
          <w:rFonts w:cs="Arial"/>
          <w:bCs/>
          <w:szCs w:val="18"/>
        </w:rPr>
        <w:t xml:space="preserve">°C as initial conditions. Reactor setups were prepared in triplicate, with the experimental conditions detailed in the table </w:t>
      </w:r>
      <w:r w:rsidR="000562CD">
        <w:rPr>
          <w:rFonts w:cs="Arial"/>
          <w:bCs/>
          <w:szCs w:val="18"/>
        </w:rPr>
        <w:t>1</w:t>
      </w:r>
      <w:r w:rsidRPr="001944F1">
        <w:rPr>
          <w:rFonts w:cs="Arial"/>
          <w:bCs/>
          <w:szCs w:val="18"/>
        </w:rPr>
        <w:t xml:space="preserve"> below.</w:t>
      </w:r>
      <w:r w:rsidRPr="001944F1" w:rsidDel="002478DB">
        <w:rPr>
          <w:rFonts w:cs="Arial"/>
          <w:bCs/>
          <w:szCs w:val="18"/>
        </w:rPr>
        <w:t xml:space="preserve"> </w:t>
      </w:r>
    </w:p>
    <w:p w14:paraId="7B5054B9" w14:textId="77777777" w:rsidR="000562CD" w:rsidRDefault="000562CD" w:rsidP="001944F1">
      <w:pPr>
        <w:spacing w:line="276" w:lineRule="auto"/>
        <w:rPr>
          <w:rFonts w:cs="Arial"/>
          <w:bCs/>
          <w:szCs w:val="18"/>
        </w:rPr>
      </w:pPr>
    </w:p>
    <w:p w14:paraId="0416C5FE" w14:textId="538047D3" w:rsidR="000562CD" w:rsidRPr="000562CD" w:rsidRDefault="000562CD" w:rsidP="001944F1">
      <w:pPr>
        <w:spacing w:line="276" w:lineRule="auto"/>
        <w:rPr>
          <w:rFonts w:cs="Arial"/>
          <w:bCs/>
          <w:i/>
          <w:szCs w:val="18"/>
        </w:rPr>
      </w:pPr>
      <w:r w:rsidRPr="000562CD">
        <w:rPr>
          <w:rFonts w:cs="Arial"/>
          <w:bCs/>
          <w:i/>
          <w:szCs w:val="18"/>
        </w:rPr>
        <w:t xml:space="preserve">Table </w:t>
      </w:r>
      <w:r w:rsidRPr="000562CD">
        <w:rPr>
          <w:rFonts w:cs="Arial"/>
          <w:bCs/>
          <w:i/>
          <w:szCs w:val="18"/>
        </w:rPr>
        <w:fldChar w:fldCharType="begin"/>
      </w:r>
      <w:r w:rsidRPr="000562CD">
        <w:rPr>
          <w:rFonts w:cs="Arial"/>
          <w:bCs/>
          <w:i/>
          <w:szCs w:val="18"/>
        </w:rPr>
        <w:instrText xml:space="preserve"> SEQ Table \* ARABIC </w:instrText>
      </w:r>
      <w:r w:rsidRPr="000562CD">
        <w:rPr>
          <w:rFonts w:cs="Arial"/>
          <w:bCs/>
          <w:i/>
          <w:szCs w:val="18"/>
        </w:rPr>
        <w:fldChar w:fldCharType="separate"/>
      </w:r>
      <w:r w:rsidRPr="000562CD">
        <w:rPr>
          <w:rFonts w:cs="Arial"/>
          <w:bCs/>
          <w:i/>
          <w:szCs w:val="18"/>
        </w:rPr>
        <w:t>1</w:t>
      </w:r>
      <w:r w:rsidRPr="000562CD">
        <w:rPr>
          <w:rFonts w:cs="Arial"/>
          <w:i/>
          <w:szCs w:val="18"/>
        </w:rPr>
        <w:fldChar w:fldCharType="end"/>
      </w:r>
      <w:r w:rsidRPr="000562CD">
        <w:rPr>
          <w:rFonts w:cs="Arial"/>
          <w:bCs/>
          <w:i/>
          <w:szCs w:val="18"/>
        </w:rPr>
        <w:t>: Reagents employed for batch growth experiments</w:t>
      </w:r>
      <w:r w:rsidRPr="000562CD" w:rsidDel="00B710B1">
        <w:rPr>
          <w:rFonts w:cs="Arial"/>
          <w:bCs/>
          <w:i/>
          <w:szCs w:val="18"/>
        </w:rPr>
        <w:t xml:space="preserve"> </w:t>
      </w:r>
      <w:r w:rsidRPr="000562CD">
        <w:rPr>
          <w:rFonts w:cs="Arial"/>
          <w:bCs/>
          <w:i/>
          <w:szCs w:val="18"/>
        </w:rPr>
        <w:t>in broth and cyanide utilisation in MSM</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111"/>
        <w:gridCol w:w="992"/>
        <w:gridCol w:w="851"/>
        <w:gridCol w:w="850"/>
        <w:gridCol w:w="993"/>
        <w:gridCol w:w="992"/>
      </w:tblGrid>
      <w:tr w:rsidR="000562CD" w:rsidRPr="001944F1" w14:paraId="3C4147FA" w14:textId="77777777" w:rsidTr="00E8659F">
        <w:tc>
          <w:tcPr>
            <w:tcW w:w="4111" w:type="dxa"/>
            <w:tcBorders>
              <w:top w:val="single" w:sz="12" w:space="0" w:color="008000"/>
              <w:bottom w:val="single" w:sz="6" w:space="0" w:color="008000"/>
            </w:tcBorders>
            <w:shd w:val="clear" w:color="auto" w:fill="FFFFFF"/>
          </w:tcPr>
          <w:p w14:paraId="074545AC" w14:textId="77777777" w:rsidR="000562CD" w:rsidRPr="001944F1" w:rsidRDefault="000562CD" w:rsidP="00E8659F">
            <w:pPr>
              <w:spacing w:line="276" w:lineRule="auto"/>
              <w:rPr>
                <w:rFonts w:cs="Arial"/>
                <w:szCs w:val="18"/>
              </w:rPr>
            </w:pPr>
            <w:r w:rsidRPr="001944F1">
              <w:rPr>
                <w:rFonts w:cs="Arial"/>
                <w:szCs w:val="18"/>
              </w:rPr>
              <w:t xml:space="preserve">Reagent </w:t>
            </w:r>
          </w:p>
        </w:tc>
        <w:tc>
          <w:tcPr>
            <w:tcW w:w="992" w:type="dxa"/>
            <w:tcBorders>
              <w:top w:val="single" w:sz="12" w:space="0" w:color="008000"/>
              <w:bottom w:val="single" w:sz="6" w:space="0" w:color="008000"/>
            </w:tcBorders>
            <w:shd w:val="clear" w:color="auto" w:fill="FFFFFF"/>
          </w:tcPr>
          <w:p w14:paraId="078E9B99" w14:textId="77777777" w:rsidR="000562CD" w:rsidRPr="001944F1" w:rsidRDefault="000562CD" w:rsidP="00E8659F">
            <w:pPr>
              <w:spacing w:line="276" w:lineRule="auto"/>
              <w:rPr>
                <w:rFonts w:cs="Arial"/>
                <w:szCs w:val="18"/>
              </w:rPr>
            </w:pPr>
            <w:r w:rsidRPr="001944F1">
              <w:rPr>
                <w:rFonts w:cs="Arial"/>
                <w:szCs w:val="18"/>
              </w:rPr>
              <w:t>R control</w:t>
            </w:r>
          </w:p>
        </w:tc>
        <w:tc>
          <w:tcPr>
            <w:tcW w:w="851" w:type="dxa"/>
            <w:tcBorders>
              <w:top w:val="single" w:sz="12" w:space="0" w:color="008000"/>
              <w:bottom w:val="single" w:sz="6" w:space="0" w:color="008000"/>
            </w:tcBorders>
            <w:shd w:val="clear" w:color="auto" w:fill="FFFFFF"/>
          </w:tcPr>
          <w:p w14:paraId="04F3F455" w14:textId="77777777" w:rsidR="000562CD" w:rsidRPr="001944F1" w:rsidRDefault="000562CD" w:rsidP="00E8659F">
            <w:pPr>
              <w:spacing w:line="276" w:lineRule="auto"/>
              <w:rPr>
                <w:rFonts w:cs="Arial"/>
                <w:szCs w:val="18"/>
              </w:rPr>
            </w:pPr>
            <w:r w:rsidRPr="001944F1">
              <w:rPr>
                <w:rFonts w:cs="Arial"/>
                <w:szCs w:val="18"/>
              </w:rPr>
              <w:t>R1</w:t>
            </w:r>
          </w:p>
        </w:tc>
        <w:tc>
          <w:tcPr>
            <w:tcW w:w="850" w:type="dxa"/>
            <w:tcBorders>
              <w:top w:val="single" w:sz="12" w:space="0" w:color="008000"/>
              <w:bottom w:val="single" w:sz="6" w:space="0" w:color="008000"/>
            </w:tcBorders>
            <w:shd w:val="clear" w:color="auto" w:fill="FFFFFF"/>
          </w:tcPr>
          <w:p w14:paraId="1DF119C0" w14:textId="77777777" w:rsidR="000562CD" w:rsidRPr="001944F1" w:rsidRDefault="000562CD" w:rsidP="00E8659F">
            <w:pPr>
              <w:spacing w:line="276" w:lineRule="auto"/>
              <w:rPr>
                <w:rFonts w:cs="Arial"/>
                <w:szCs w:val="18"/>
              </w:rPr>
            </w:pPr>
            <w:r w:rsidRPr="001944F1">
              <w:rPr>
                <w:rFonts w:cs="Arial"/>
                <w:szCs w:val="18"/>
              </w:rPr>
              <w:t>R2</w:t>
            </w:r>
          </w:p>
        </w:tc>
        <w:tc>
          <w:tcPr>
            <w:tcW w:w="993" w:type="dxa"/>
            <w:tcBorders>
              <w:top w:val="single" w:sz="12" w:space="0" w:color="008000"/>
              <w:bottom w:val="single" w:sz="6" w:space="0" w:color="008000"/>
            </w:tcBorders>
            <w:shd w:val="clear" w:color="auto" w:fill="FFFFFF"/>
          </w:tcPr>
          <w:p w14:paraId="4575AF6B" w14:textId="77777777" w:rsidR="000562CD" w:rsidRPr="001944F1" w:rsidRDefault="000562CD" w:rsidP="00E8659F">
            <w:pPr>
              <w:spacing w:line="276" w:lineRule="auto"/>
              <w:rPr>
                <w:rFonts w:cs="Arial"/>
                <w:szCs w:val="18"/>
              </w:rPr>
            </w:pPr>
            <w:r w:rsidRPr="001944F1">
              <w:rPr>
                <w:rFonts w:cs="Arial"/>
                <w:szCs w:val="18"/>
              </w:rPr>
              <w:t>R3</w:t>
            </w:r>
          </w:p>
        </w:tc>
        <w:tc>
          <w:tcPr>
            <w:tcW w:w="992" w:type="dxa"/>
            <w:tcBorders>
              <w:top w:val="single" w:sz="12" w:space="0" w:color="008000"/>
              <w:bottom w:val="single" w:sz="6" w:space="0" w:color="008000"/>
            </w:tcBorders>
            <w:shd w:val="clear" w:color="auto" w:fill="FFFFFF"/>
          </w:tcPr>
          <w:p w14:paraId="4ED77F73" w14:textId="77777777" w:rsidR="000562CD" w:rsidRPr="001944F1" w:rsidRDefault="000562CD" w:rsidP="00E8659F">
            <w:pPr>
              <w:spacing w:line="276" w:lineRule="auto"/>
              <w:rPr>
                <w:rFonts w:cs="Arial"/>
                <w:szCs w:val="18"/>
              </w:rPr>
            </w:pPr>
            <w:r w:rsidRPr="001944F1">
              <w:rPr>
                <w:rFonts w:cs="Arial"/>
                <w:szCs w:val="18"/>
              </w:rPr>
              <w:t>R4</w:t>
            </w:r>
          </w:p>
        </w:tc>
      </w:tr>
      <w:tr w:rsidR="000562CD" w:rsidRPr="001944F1" w14:paraId="279C5DCF" w14:textId="77777777" w:rsidTr="00E8659F">
        <w:tc>
          <w:tcPr>
            <w:tcW w:w="4111" w:type="dxa"/>
            <w:shd w:val="clear" w:color="auto" w:fill="FFFFFF"/>
          </w:tcPr>
          <w:p w14:paraId="2F731C8F" w14:textId="77777777" w:rsidR="000562CD" w:rsidRPr="001944F1" w:rsidRDefault="000562CD" w:rsidP="00E8659F">
            <w:pPr>
              <w:spacing w:line="276" w:lineRule="auto"/>
              <w:rPr>
                <w:rFonts w:cs="Arial"/>
                <w:szCs w:val="18"/>
              </w:rPr>
            </w:pPr>
            <w:r w:rsidRPr="001944F1">
              <w:rPr>
                <w:rFonts w:cs="Arial"/>
                <w:szCs w:val="18"/>
              </w:rPr>
              <w:t>Broth</w:t>
            </w:r>
            <w:r>
              <w:rPr>
                <w:rFonts w:cs="Arial"/>
                <w:szCs w:val="18"/>
              </w:rPr>
              <w:t xml:space="preserve"> (for growth)/MSM (for utilisation experiments)</w:t>
            </w:r>
          </w:p>
        </w:tc>
        <w:tc>
          <w:tcPr>
            <w:tcW w:w="992" w:type="dxa"/>
            <w:shd w:val="clear" w:color="auto" w:fill="FFFFFF"/>
          </w:tcPr>
          <w:p w14:paraId="6E1B7283" w14:textId="77777777" w:rsidR="000562CD" w:rsidRPr="001944F1" w:rsidRDefault="000562CD" w:rsidP="00E8659F">
            <w:pPr>
              <w:spacing w:line="276" w:lineRule="auto"/>
              <w:rPr>
                <w:rFonts w:cs="Arial"/>
                <w:szCs w:val="18"/>
              </w:rPr>
            </w:pPr>
            <w:r w:rsidRPr="001944F1">
              <w:rPr>
                <w:rFonts w:cs="Arial"/>
                <w:szCs w:val="18"/>
              </w:rPr>
              <w:t>150 mL</w:t>
            </w:r>
          </w:p>
        </w:tc>
        <w:tc>
          <w:tcPr>
            <w:tcW w:w="851" w:type="dxa"/>
            <w:shd w:val="clear" w:color="auto" w:fill="FFFFFF"/>
          </w:tcPr>
          <w:p w14:paraId="2E050041" w14:textId="77777777" w:rsidR="000562CD" w:rsidRPr="001944F1" w:rsidRDefault="000562CD" w:rsidP="00E8659F">
            <w:pPr>
              <w:spacing w:line="276" w:lineRule="auto"/>
              <w:rPr>
                <w:rFonts w:cs="Arial"/>
                <w:szCs w:val="18"/>
              </w:rPr>
            </w:pPr>
            <w:r w:rsidRPr="001944F1">
              <w:rPr>
                <w:rFonts w:cs="Arial"/>
                <w:szCs w:val="18"/>
              </w:rPr>
              <w:t>150 mL</w:t>
            </w:r>
          </w:p>
        </w:tc>
        <w:tc>
          <w:tcPr>
            <w:tcW w:w="850" w:type="dxa"/>
            <w:shd w:val="clear" w:color="auto" w:fill="FFFFFF"/>
          </w:tcPr>
          <w:p w14:paraId="10E7906A" w14:textId="77777777" w:rsidR="000562CD" w:rsidRPr="001944F1" w:rsidRDefault="000562CD" w:rsidP="00E8659F">
            <w:pPr>
              <w:spacing w:line="276" w:lineRule="auto"/>
              <w:rPr>
                <w:rFonts w:cs="Arial"/>
                <w:szCs w:val="18"/>
              </w:rPr>
            </w:pPr>
            <w:r w:rsidRPr="001944F1">
              <w:rPr>
                <w:rFonts w:cs="Arial"/>
                <w:szCs w:val="18"/>
              </w:rPr>
              <w:t>150 mL</w:t>
            </w:r>
          </w:p>
        </w:tc>
        <w:tc>
          <w:tcPr>
            <w:tcW w:w="993" w:type="dxa"/>
            <w:shd w:val="clear" w:color="auto" w:fill="FFFFFF"/>
          </w:tcPr>
          <w:p w14:paraId="1E9BDAF9" w14:textId="77777777" w:rsidR="000562CD" w:rsidRPr="001944F1" w:rsidRDefault="000562CD" w:rsidP="00E8659F">
            <w:pPr>
              <w:spacing w:line="276" w:lineRule="auto"/>
              <w:rPr>
                <w:rFonts w:cs="Arial"/>
                <w:szCs w:val="18"/>
              </w:rPr>
            </w:pPr>
            <w:r w:rsidRPr="001944F1">
              <w:rPr>
                <w:rFonts w:cs="Arial"/>
                <w:szCs w:val="18"/>
              </w:rPr>
              <w:t>150 mL</w:t>
            </w:r>
          </w:p>
        </w:tc>
        <w:tc>
          <w:tcPr>
            <w:tcW w:w="992" w:type="dxa"/>
            <w:shd w:val="clear" w:color="auto" w:fill="FFFFFF"/>
          </w:tcPr>
          <w:p w14:paraId="5C2C393A" w14:textId="77777777" w:rsidR="000562CD" w:rsidRPr="001944F1" w:rsidRDefault="000562CD" w:rsidP="00E8659F">
            <w:pPr>
              <w:spacing w:line="276" w:lineRule="auto"/>
              <w:rPr>
                <w:rFonts w:cs="Arial"/>
                <w:szCs w:val="18"/>
              </w:rPr>
            </w:pPr>
            <w:r w:rsidRPr="001944F1">
              <w:rPr>
                <w:rFonts w:cs="Arial"/>
                <w:szCs w:val="18"/>
              </w:rPr>
              <w:t>150 mL</w:t>
            </w:r>
          </w:p>
        </w:tc>
      </w:tr>
      <w:tr w:rsidR="000562CD" w:rsidRPr="001944F1" w14:paraId="70F88A7D" w14:textId="77777777" w:rsidTr="00E8659F">
        <w:tc>
          <w:tcPr>
            <w:tcW w:w="4111" w:type="dxa"/>
            <w:shd w:val="clear" w:color="auto" w:fill="FFFFFF"/>
          </w:tcPr>
          <w:p w14:paraId="34C78BB7" w14:textId="77777777" w:rsidR="000562CD" w:rsidRPr="001944F1" w:rsidRDefault="000562CD" w:rsidP="00E8659F">
            <w:pPr>
              <w:spacing w:line="276" w:lineRule="auto"/>
              <w:rPr>
                <w:rFonts w:cs="Arial"/>
                <w:szCs w:val="18"/>
              </w:rPr>
            </w:pPr>
            <w:r w:rsidRPr="001944F1">
              <w:rPr>
                <w:rFonts w:cs="Arial"/>
                <w:szCs w:val="18"/>
              </w:rPr>
              <w:t>NaCN</w:t>
            </w:r>
          </w:p>
        </w:tc>
        <w:tc>
          <w:tcPr>
            <w:tcW w:w="992" w:type="dxa"/>
            <w:shd w:val="clear" w:color="auto" w:fill="FFFFFF"/>
          </w:tcPr>
          <w:p w14:paraId="6647CA30" w14:textId="77777777" w:rsidR="000562CD" w:rsidRPr="001944F1" w:rsidRDefault="000562CD" w:rsidP="00E8659F">
            <w:pPr>
              <w:spacing w:line="276" w:lineRule="auto"/>
              <w:rPr>
                <w:rFonts w:cs="Arial"/>
                <w:szCs w:val="18"/>
              </w:rPr>
            </w:pPr>
            <w:r w:rsidRPr="001944F1">
              <w:rPr>
                <w:rFonts w:cs="Arial"/>
                <w:szCs w:val="18"/>
              </w:rPr>
              <w:t>-</w:t>
            </w:r>
          </w:p>
        </w:tc>
        <w:tc>
          <w:tcPr>
            <w:tcW w:w="851" w:type="dxa"/>
            <w:shd w:val="clear" w:color="auto" w:fill="FFFFFF"/>
          </w:tcPr>
          <w:p w14:paraId="6B24840D" w14:textId="603BE704" w:rsidR="000562CD" w:rsidRPr="001944F1" w:rsidRDefault="000562CD" w:rsidP="00E8659F">
            <w:pPr>
              <w:spacing w:line="276" w:lineRule="auto"/>
              <w:rPr>
                <w:rFonts w:cs="Arial"/>
                <w:szCs w:val="18"/>
              </w:rPr>
            </w:pPr>
            <w:r w:rsidRPr="001944F1">
              <w:rPr>
                <w:rFonts w:cs="Arial"/>
                <w:szCs w:val="18"/>
              </w:rPr>
              <w:t>5 mmol</w:t>
            </w:r>
            <w:r w:rsidR="001C3443">
              <w:rPr>
                <w:rFonts w:cs="Arial"/>
                <w:szCs w:val="18"/>
              </w:rPr>
              <w:t>/L</w:t>
            </w:r>
          </w:p>
        </w:tc>
        <w:tc>
          <w:tcPr>
            <w:tcW w:w="850" w:type="dxa"/>
            <w:shd w:val="clear" w:color="auto" w:fill="FFFFFF"/>
          </w:tcPr>
          <w:p w14:paraId="72EAE726" w14:textId="751A713F" w:rsidR="000562CD" w:rsidRPr="001944F1" w:rsidRDefault="000562CD" w:rsidP="00E8659F">
            <w:pPr>
              <w:spacing w:line="276" w:lineRule="auto"/>
              <w:rPr>
                <w:rFonts w:cs="Arial"/>
                <w:szCs w:val="18"/>
              </w:rPr>
            </w:pPr>
            <w:r w:rsidRPr="001944F1">
              <w:rPr>
                <w:rFonts w:cs="Arial"/>
                <w:szCs w:val="18"/>
              </w:rPr>
              <w:t>3 mmol</w:t>
            </w:r>
            <w:r w:rsidR="001C3443">
              <w:rPr>
                <w:rFonts w:cs="Arial"/>
                <w:szCs w:val="18"/>
              </w:rPr>
              <w:t>/L</w:t>
            </w:r>
          </w:p>
        </w:tc>
        <w:tc>
          <w:tcPr>
            <w:tcW w:w="993" w:type="dxa"/>
            <w:shd w:val="clear" w:color="auto" w:fill="FFFFFF"/>
          </w:tcPr>
          <w:p w14:paraId="38B28388" w14:textId="12777434" w:rsidR="000562CD" w:rsidRPr="001944F1" w:rsidRDefault="000562CD" w:rsidP="00E8659F">
            <w:pPr>
              <w:spacing w:line="276" w:lineRule="auto"/>
              <w:rPr>
                <w:rFonts w:cs="Arial"/>
                <w:szCs w:val="18"/>
              </w:rPr>
            </w:pPr>
            <w:r w:rsidRPr="001944F1">
              <w:rPr>
                <w:rFonts w:cs="Arial"/>
                <w:szCs w:val="18"/>
              </w:rPr>
              <w:t>3 mmol</w:t>
            </w:r>
            <w:r w:rsidR="001C3443">
              <w:rPr>
                <w:rFonts w:cs="Arial"/>
                <w:szCs w:val="18"/>
              </w:rPr>
              <w:t>/L</w:t>
            </w:r>
          </w:p>
        </w:tc>
        <w:tc>
          <w:tcPr>
            <w:tcW w:w="992" w:type="dxa"/>
            <w:shd w:val="clear" w:color="auto" w:fill="FFFFFF"/>
          </w:tcPr>
          <w:p w14:paraId="336CD372" w14:textId="0BB19B2D" w:rsidR="000562CD" w:rsidRPr="001944F1" w:rsidRDefault="000562CD" w:rsidP="00E8659F">
            <w:pPr>
              <w:spacing w:line="276" w:lineRule="auto"/>
              <w:rPr>
                <w:rFonts w:cs="Arial"/>
                <w:szCs w:val="18"/>
              </w:rPr>
            </w:pPr>
            <w:r w:rsidRPr="001944F1">
              <w:rPr>
                <w:rFonts w:cs="Arial"/>
                <w:szCs w:val="18"/>
              </w:rPr>
              <w:t>1 mmol</w:t>
            </w:r>
            <w:r w:rsidR="001C3443">
              <w:rPr>
                <w:rFonts w:cs="Arial"/>
                <w:szCs w:val="18"/>
              </w:rPr>
              <w:t>/L</w:t>
            </w:r>
          </w:p>
        </w:tc>
      </w:tr>
      <w:tr w:rsidR="000562CD" w:rsidRPr="001944F1" w14:paraId="1DFBC5B8" w14:textId="77777777" w:rsidTr="00E8659F">
        <w:tc>
          <w:tcPr>
            <w:tcW w:w="4111" w:type="dxa"/>
            <w:shd w:val="clear" w:color="auto" w:fill="FFFFFF"/>
          </w:tcPr>
          <w:p w14:paraId="09E5C198" w14:textId="77777777" w:rsidR="000562CD" w:rsidRPr="001944F1" w:rsidRDefault="000562CD" w:rsidP="00E8659F">
            <w:pPr>
              <w:spacing w:line="276" w:lineRule="auto"/>
              <w:rPr>
                <w:rFonts w:cs="Arial"/>
                <w:szCs w:val="18"/>
              </w:rPr>
            </w:pPr>
            <w:r w:rsidRPr="001944F1">
              <w:rPr>
                <w:rFonts w:cs="Arial"/>
                <w:szCs w:val="18"/>
              </w:rPr>
              <w:t>Glucose</w:t>
            </w:r>
          </w:p>
        </w:tc>
        <w:tc>
          <w:tcPr>
            <w:tcW w:w="992" w:type="dxa"/>
            <w:shd w:val="clear" w:color="auto" w:fill="FFFFFF"/>
          </w:tcPr>
          <w:p w14:paraId="4E409226" w14:textId="77777777" w:rsidR="000562CD" w:rsidRPr="001944F1" w:rsidRDefault="000562CD" w:rsidP="00E8659F">
            <w:pPr>
              <w:spacing w:line="276" w:lineRule="auto"/>
              <w:rPr>
                <w:rFonts w:cs="Arial"/>
                <w:szCs w:val="18"/>
              </w:rPr>
            </w:pPr>
            <w:r w:rsidRPr="001944F1">
              <w:rPr>
                <w:rFonts w:cs="Arial"/>
                <w:szCs w:val="18"/>
              </w:rPr>
              <w:t>-</w:t>
            </w:r>
          </w:p>
        </w:tc>
        <w:tc>
          <w:tcPr>
            <w:tcW w:w="851" w:type="dxa"/>
            <w:shd w:val="clear" w:color="auto" w:fill="FFFFFF"/>
          </w:tcPr>
          <w:p w14:paraId="1E33A2E9" w14:textId="77777777" w:rsidR="000562CD" w:rsidRPr="001944F1" w:rsidRDefault="000562CD" w:rsidP="00E8659F">
            <w:pPr>
              <w:spacing w:line="276" w:lineRule="auto"/>
              <w:rPr>
                <w:rFonts w:cs="Arial"/>
                <w:szCs w:val="18"/>
              </w:rPr>
            </w:pPr>
            <w:r w:rsidRPr="001944F1">
              <w:rPr>
                <w:rFonts w:cs="Arial"/>
                <w:szCs w:val="18"/>
              </w:rPr>
              <w:t>-</w:t>
            </w:r>
          </w:p>
        </w:tc>
        <w:tc>
          <w:tcPr>
            <w:tcW w:w="850" w:type="dxa"/>
            <w:shd w:val="clear" w:color="auto" w:fill="FFFFFF"/>
          </w:tcPr>
          <w:p w14:paraId="3DFD75B9" w14:textId="77777777" w:rsidR="000562CD" w:rsidRPr="001944F1" w:rsidRDefault="000562CD" w:rsidP="00E8659F">
            <w:pPr>
              <w:spacing w:line="276" w:lineRule="auto"/>
              <w:rPr>
                <w:rFonts w:cs="Arial"/>
                <w:szCs w:val="18"/>
              </w:rPr>
            </w:pPr>
            <w:r w:rsidRPr="001944F1">
              <w:rPr>
                <w:rFonts w:cs="Arial"/>
                <w:szCs w:val="18"/>
              </w:rPr>
              <w:t>-</w:t>
            </w:r>
          </w:p>
        </w:tc>
        <w:tc>
          <w:tcPr>
            <w:tcW w:w="993" w:type="dxa"/>
            <w:shd w:val="clear" w:color="auto" w:fill="FFFFFF"/>
          </w:tcPr>
          <w:p w14:paraId="3F9A1313" w14:textId="379ACE3D" w:rsidR="000562CD" w:rsidRPr="001944F1" w:rsidRDefault="000562CD" w:rsidP="00E8659F">
            <w:pPr>
              <w:spacing w:line="276" w:lineRule="auto"/>
              <w:rPr>
                <w:rFonts w:cs="Arial"/>
                <w:szCs w:val="18"/>
              </w:rPr>
            </w:pPr>
            <w:r w:rsidRPr="001944F1">
              <w:rPr>
                <w:rFonts w:cs="Arial"/>
                <w:szCs w:val="18"/>
              </w:rPr>
              <w:t>5mmol</w:t>
            </w:r>
            <w:r w:rsidR="001C3443">
              <w:rPr>
                <w:rFonts w:cs="Arial"/>
                <w:szCs w:val="18"/>
              </w:rPr>
              <w:t>/L</w:t>
            </w:r>
          </w:p>
        </w:tc>
        <w:tc>
          <w:tcPr>
            <w:tcW w:w="992" w:type="dxa"/>
            <w:shd w:val="clear" w:color="auto" w:fill="FFFFFF"/>
          </w:tcPr>
          <w:p w14:paraId="14DA83B7" w14:textId="77777777" w:rsidR="000562CD" w:rsidRPr="001944F1" w:rsidRDefault="000562CD" w:rsidP="00E8659F">
            <w:pPr>
              <w:spacing w:line="276" w:lineRule="auto"/>
              <w:rPr>
                <w:rFonts w:cs="Arial"/>
                <w:szCs w:val="18"/>
              </w:rPr>
            </w:pPr>
            <w:r w:rsidRPr="001944F1">
              <w:rPr>
                <w:rFonts w:cs="Arial"/>
                <w:szCs w:val="18"/>
              </w:rPr>
              <w:t>-</w:t>
            </w:r>
          </w:p>
        </w:tc>
      </w:tr>
      <w:tr w:rsidR="000562CD" w:rsidRPr="001944F1" w14:paraId="779BDC5A" w14:textId="77777777" w:rsidTr="00E8659F">
        <w:tc>
          <w:tcPr>
            <w:tcW w:w="4111" w:type="dxa"/>
            <w:shd w:val="clear" w:color="auto" w:fill="FFFFFF"/>
          </w:tcPr>
          <w:p w14:paraId="5EDCED32" w14:textId="77777777" w:rsidR="000562CD" w:rsidRPr="001944F1" w:rsidRDefault="000562CD" w:rsidP="00E8659F">
            <w:pPr>
              <w:spacing w:line="276" w:lineRule="auto"/>
              <w:rPr>
                <w:rFonts w:cs="Arial"/>
                <w:szCs w:val="18"/>
              </w:rPr>
            </w:pPr>
            <w:r w:rsidRPr="001944F1">
              <w:rPr>
                <w:rFonts w:cs="Arial"/>
                <w:szCs w:val="18"/>
              </w:rPr>
              <w:t>Bacteria</w:t>
            </w:r>
          </w:p>
        </w:tc>
        <w:tc>
          <w:tcPr>
            <w:tcW w:w="992" w:type="dxa"/>
            <w:shd w:val="clear" w:color="auto" w:fill="FFFFFF"/>
          </w:tcPr>
          <w:p w14:paraId="5C8490B2" w14:textId="77777777" w:rsidR="000562CD" w:rsidRPr="001944F1" w:rsidRDefault="000562CD" w:rsidP="00E8659F">
            <w:pPr>
              <w:spacing w:line="276" w:lineRule="auto"/>
              <w:rPr>
                <w:rFonts w:cs="Arial"/>
                <w:szCs w:val="18"/>
              </w:rPr>
            </w:pPr>
            <w:r w:rsidRPr="001944F1">
              <w:rPr>
                <w:rFonts w:cs="Arial"/>
                <w:szCs w:val="18"/>
              </w:rPr>
              <w:t>1 mL</w:t>
            </w:r>
          </w:p>
        </w:tc>
        <w:tc>
          <w:tcPr>
            <w:tcW w:w="851" w:type="dxa"/>
            <w:shd w:val="clear" w:color="auto" w:fill="FFFFFF"/>
          </w:tcPr>
          <w:p w14:paraId="64AFEE54" w14:textId="77777777" w:rsidR="000562CD" w:rsidRPr="001944F1" w:rsidRDefault="000562CD" w:rsidP="00E8659F">
            <w:pPr>
              <w:spacing w:line="276" w:lineRule="auto"/>
              <w:rPr>
                <w:rFonts w:cs="Arial"/>
                <w:szCs w:val="18"/>
              </w:rPr>
            </w:pPr>
            <w:r w:rsidRPr="001944F1">
              <w:rPr>
                <w:rFonts w:cs="Arial"/>
                <w:szCs w:val="18"/>
              </w:rPr>
              <w:t>1 mL</w:t>
            </w:r>
          </w:p>
        </w:tc>
        <w:tc>
          <w:tcPr>
            <w:tcW w:w="850" w:type="dxa"/>
            <w:shd w:val="clear" w:color="auto" w:fill="FFFFFF"/>
          </w:tcPr>
          <w:p w14:paraId="4C56FB69" w14:textId="77777777" w:rsidR="000562CD" w:rsidRPr="001944F1" w:rsidRDefault="000562CD" w:rsidP="00E8659F">
            <w:pPr>
              <w:spacing w:line="276" w:lineRule="auto"/>
              <w:rPr>
                <w:rFonts w:cs="Arial"/>
                <w:szCs w:val="18"/>
              </w:rPr>
            </w:pPr>
            <w:r w:rsidRPr="001944F1">
              <w:rPr>
                <w:rFonts w:cs="Arial"/>
                <w:szCs w:val="18"/>
              </w:rPr>
              <w:t>1 mL</w:t>
            </w:r>
          </w:p>
        </w:tc>
        <w:tc>
          <w:tcPr>
            <w:tcW w:w="993" w:type="dxa"/>
            <w:shd w:val="clear" w:color="auto" w:fill="FFFFFF"/>
          </w:tcPr>
          <w:p w14:paraId="3FF7BE64" w14:textId="77777777" w:rsidR="000562CD" w:rsidRPr="001944F1" w:rsidRDefault="000562CD" w:rsidP="00E8659F">
            <w:pPr>
              <w:spacing w:line="276" w:lineRule="auto"/>
              <w:rPr>
                <w:rFonts w:cs="Arial"/>
                <w:szCs w:val="18"/>
              </w:rPr>
            </w:pPr>
            <w:r w:rsidRPr="001944F1">
              <w:rPr>
                <w:rFonts w:cs="Arial"/>
                <w:szCs w:val="18"/>
              </w:rPr>
              <w:t>1 mL</w:t>
            </w:r>
          </w:p>
        </w:tc>
        <w:tc>
          <w:tcPr>
            <w:tcW w:w="992" w:type="dxa"/>
            <w:shd w:val="clear" w:color="auto" w:fill="FFFFFF"/>
          </w:tcPr>
          <w:p w14:paraId="1E4FD49A" w14:textId="77777777" w:rsidR="000562CD" w:rsidRPr="001944F1" w:rsidRDefault="000562CD" w:rsidP="00E8659F">
            <w:pPr>
              <w:spacing w:line="276" w:lineRule="auto"/>
              <w:rPr>
                <w:rFonts w:cs="Arial"/>
                <w:szCs w:val="18"/>
              </w:rPr>
            </w:pPr>
            <w:r w:rsidRPr="001944F1">
              <w:rPr>
                <w:rFonts w:cs="Arial"/>
                <w:szCs w:val="18"/>
              </w:rPr>
              <w:t>1 mL</w:t>
            </w:r>
          </w:p>
        </w:tc>
      </w:tr>
    </w:tbl>
    <w:p w14:paraId="6F004870" w14:textId="77777777" w:rsidR="001944F1" w:rsidRPr="001944F1" w:rsidRDefault="001944F1" w:rsidP="001944F1">
      <w:pPr>
        <w:spacing w:line="276" w:lineRule="auto"/>
        <w:rPr>
          <w:rFonts w:cs="Arial"/>
          <w:szCs w:val="18"/>
        </w:rPr>
      </w:pPr>
    </w:p>
    <w:p w14:paraId="18F8A55A" w14:textId="77777777" w:rsidR="001944F1" w:rsidRPr="001944F1" w:rsidRDefault="001944F1" w:rsidP="001944F1">
      <w:pPr>
        <w:numPr>
          <w:ilvl w:val="2"/>
          <w:numId w:val="1"/>
        </w:numPr>
        <w:spacing w:line="276" w:lineRule="auto"/>
        <w:rPr>
          <w:rFonts w:cs="Arial"/>
          <w:b/>
          <w:szCs w:val="18"/>
          <w:lang w:val="en-US"/>
        </w:rPr>
      </w:pPr>
      <w:r w:rsidRPr="001944F1">
        <w:rPr>
          <w:rFonts w:cs="Arial"/>
          <w:b/>
          <w:szCs w:val="18"/>
          <w:lang w:val="en-US"/>
        </w:rPr>
        <w:t>Analytical methods</w:t>
      </w:r>
    </w:p>
    <w:p w14:paraId="15EC3B19" w14:textId="72E30BB2" w:rsidR="001944F1" w:rsidRPr="001944F1" w:rsidRDefault="001944F1" w:rsidP="001944F1">
      <w:pPr>
        <w:spacing w:line="276" w:lineRule="auto"/>
        <w:rPr>
          <w:rFonts w:cs="Arial"/>
          <w:szCs w:val="18"/>
          <w:lang w:val="en-US"/>
        </w:rPr>
      </w:pPr>
      <w:r w:rsidRPr="001944F1">
        <w:rPr>
          <w:rFonts w:cs="Arial"/>
          <w:szCs w:val="18"/>
          <w:lang w:val="en-US"/>
        </w:rPr>
        <w:t xml:space="preserve">The cyanide concentration in the samples was measured using an Ion Chromatography (IC) 940 Professional IC Vario ion chromatograph (Metrohm, Herisau, Switzerland) equipped with a Metrosep C 10-250/4.0 separation column (Metrohm, Switzerland). Bacterial growth was monitored spectrophotometrically by measuring optical density at 600 nm (OD600) using a UV-Vis spectrophotometer. The pH and oxidation-reduction potential (ORP) of the samples were measured using a calibrated pH and conductivity meter. The identification of bacterial species was performed via 16S rRNA sequencing, outsourced to Inqaba Biotechnical Industries (Pty) Ltd (Pretoria, </w:t>
      </w:r>
      <w:r w:rsidRPr="00C472B7">
        <w:rPr>
          <w:rFonts w:cs="Arial"/>
          <w:szCs w:val="18"/>
          <w:lang w:val="en-US"/>
        </w:rPr>
        <w:t>South Africa)</w:t>
      </w:r>
      <w:r w:rsidR="00C36F91" w:rsidRPr="00C472B7">
        <w:rPr>
          <w:rFonts w:cs="Arial"/>
          <w:szCs w:val="18"/>
          <w:lang w:val="en-US"/>
        </w:rPr>
        <w:t>.</w:t>
      </w:r>
      <w:r w:rsidR="003F3467" w:rsidRPr="00C472B7">
        <w:t xml:space="preserve"> </w:t>
      </w:r>
    </w:p>
    <w:p w14:paraId="22A3F9E9" w14:textId="77777777" w:rsidR="001944F1" w:rsidRPr="001944F1" w:rsidRDefault="001944F1" w:rsidP="001944F1">
      <w:pPr>
        <w:spacing w:line="276" w:lineRule="auto"/>
        <w:rPr>
          <w:rFonts w:cs="Arial"/>
          <w:szCs w:val="18"/>
          <w:lang w:val="en-US"/>
        </w:rPr>
      </w:pPr>
    </w:p>
    <w:p w14:paraId="07B73298" w14:textId="77777777" w:rsidR="001944F1" w:rsidRPr="001944F1" w:rsidRDefault="001944F1" w:rsidP="001944F1">
      <w:pPr>
        <w:numPr>
          <w:ilvl w:val="1"/>
          <w:numId w:val="1"/>
        </w:numPr>
        <w:tabs>
          <w:tab w:val="num" w:pos="360"/>
        </w:tabs>
        <w:spacing w:line="276" w:lineRule="auto"/>
        <w:rPr>
          <w:rFonts w:cs="Arial"/>
          <w:b/>
          <w:szCs w:val="18"/>
          <w:lang w:val="en-US"/>
        </w:rPr>
      </w:pPr>
      <w:r w:rsidRPr="001944F1">
        <w:rPr>
          <w:rFonts w:cs="Arial"/>
          <w:b/>
          <w:szCs w:val="18"/>
          <w:lang w:val="en-US"/>
        </w:rPr>
        <w:t>Results</w:t>
      </w:r>
    </w:p>
    <w:p w14:paraId="2371685F" w14:textId="77777777" w:rsidR="001944F1" w:rsidRDefault="001944F1" w:rsidP="001944F1">
      <w:pPr>
        <w:numPr>
          <w:ilvl w:val="2"/>
          <w:numId w:val="1"/>
        </w:numPr>
        <w:spacing w:line="276" w:lineRule="auto"/>
        <w:rPr>
          <w:rFonts w:cs="Arial"/>
          <w:b/>
          <w:szCs w:val="18"/>
          <w:lang w:val="en-US"/>
        </w:rPr>
      </w:pPr>
      <w:r w:rsidRPr="001944F1">
        <w:rPr>
          <w:rFonts w:cs="Arial"/>
          <w:b/>
          <w:szCs w:val="18"/>
          <w:lang w:val="en-US"/>
        </w:rPr>
        <w:t>Results on optimum pH and growth</w:t>
      </w:r>
    </w:p>
    <w:p w14:paraId="0F4F0A5C" w14:textId="257F36FF" w:rsidR="00D858DA" w:rsidRPr="00D858DA" w:rsidRDefault="00D858DA" w:rsidP="00D858DA">
      <w:pPr>
        <w:spacing w:line="276" w:lineRule="auto"/>
        <w:rPr>
          <w:rFonts w:cs="Arial"/>
          <w:szCs w:val="18"/>
          <w:lang w:val="en-US"/>
        </w:rPr>
      </w:pPr>
      <w:r w:rsidRPr="00D858DA">
        <w:rPr>
          <w:rFonts w:cs="Arial"/>
          <w:szCs w:val="18"/>
          <w:lang w:val="en-US"/>
        </w:rPr>
        <w:t>Reactors were set up at 35</w:t>
      </w:r>
      <w:r w:rsidRPr="00D858DA">
        <w:rPr>
          <w:rFonts w:cs="Arial"/>
          <w:szCs w:val="18"/>
          <w:vertAlign w:val="superscript"/>
          <w:lang w:val="en-US"/>
        </w:rPr>
        <w:t>o</w:t>
      </w:r>
      <w:r w:rsidRPr="00D858DA">
        <w:rPr>
          <w:rFonts w:cs="Arial"/>
          <w:szCs w:val="18"/>
          <w:lang w:val="en-US"/>
        </w:rPr>
        <w:t xml:space="preserve">C with 150mls of </w:t>
      </w:r>
      <w:r>
        <w:rPr>
          <w:rFonts w:cs="Arial"/>
          <w:szCs w:val="18"/>
          <w:lang w:val="en-US"/>
        </w:rPr>
        <w:t>growth medium</w:t>
      </w:r>
      <w:r w:rsidRPr="00D858DA">
        <w:rPr>
          <w:rFonts w:cs="Arial"/>
          <w:szCs w:val="18"/>
          <w:lang w:val="en-US"/>
        </w:rPr>
        <w:t xml:space="preserve"> and 1ml of bacteria aliquot</w:t>
      </w:r>
      <w:r>
        <w:rPr>
          <w:rFonts w:cs="Arial"/>
          <w:szCs w:val="18"/>
          <w:lang w:val="en-US"/>
        </w:rPr>
        <w:t xml:space="preserve"> in an incubator.</w:t>
      </w:r>
    </w:p>
    <w:p w14:paraId="50BDBAFC" w14:textId="1E500944" w:rsidR="001944F1" w:rsidRPr="001944F1" w:rsidRDefault="00EF4D2D" w:rsidP="001944F1">
      <w:pPr>
        <w:spacing w:line="276" w:lineRule="auto"/>
        <w:rPr>
          <w:rFonts w:cs="Arial"/>
          <w:szCs w:val="18"/>
        </w:rPr>
      </w:pPr>
      <w:r w:rsidRPr="00EF4D2D">
        <w:rPr>
          <w:noProof/>
          <w:lang w:eastAsia="en-GB"/>
        </w:rPr>
        <w:t xml:space="preserve"> </w:t>
      </w:r>
      <w:r>
        <w:rPr>
          <w:noProof/>
          <w:lang w:eastAsia="en-GB"/>
        </w:rPr>
        <w:drawing>
          <wp:inline distT="0" distB="0" distL="0" distR="0" wp14:anchorId="5D9AF641" wp14:editId="007856BC">
            <wp:extent cx="4848225" cy="19907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9BB3169" w14:textId="613271EA" w:rsidR="001944F1" w:rsidRDefault="001944F1" w:rsidP="001944F1">
      <w:pPr>
        <w:spacing w:line="276" w:lineRule="auto"/>
        <w:rPr>
          <w:rFonts w:cs="Arial"/>
          <w:i/>
          <w:szCs w:val="18"/>
        </w:rPr>
      </w:pPr>
      <w:r w:rsidRPr="001944F1">
        <w:rPr>
          <w:rFonts w:cs="Arial"/>
          <w:i/>
          <w:szCs w:val="18"/>
        </w:rPr>
        <w:t>Fig</w:t>
      </w:r>
      <w:r w:rsidR="00296624">
        <w:rPr>
          <w:rFonts w:cs="Arial"/>
          <w:i/>
          <w:szCs w:val="18"/>
        </w:rPr>
        <w:t>ure</w:t>
      </w:r>
      <w:r w:rsidRPr="001944F1">
        <w:rPr>
          <w:rFonts w:cs="Arial"/>
          <w:i/>
          <w:szCs w:val="18"/>
        </w:rPr>
        <w:t xml:space="preserve"> 1: OD600 of reactors at various pH values</w:t>
      </w:r>
    </w:p>
    <w:p w14:paraId="68132E26" w14:textId="77777777" w:rsidR="00FD006A" w:rsidRPr="001944F1" w:rsidRDefault="00FD006A" w:rsidP="001944F1">
      <w:pPr>
        <w:spacing w:line="276" w:lineRule="auto"/>
        <w:rPr>
          <w:rFonts w:cs="Arial"/>
          <w:i/>
          <w:szCs w:val="18"/>
        </w:rPr>
      </w:pPr>
    </w:p>
    <w:p w14:paraId="271303A7" w14:textId="01C32632" w:rsidR="001944F1" w:rsidRPr="001944F1" w:rsidRDefault="001944F1" w:rsidP="001944F1">
      <w:pPr>
        <w:spacing w:line="276" w:lineRule="auto"/>
        <w:rPr>
          <w:rFonts w:cs="Arial"/>
          <w:szCs w:val="18"/>
        </w:rPr>
      </w:pPr>
      <w:r w:rsidRPr="001944F1">
        <w:rPr>
          <w:rFonts w:cs="Arial"/>
          <w:szCs w:val="18"/>
        </w:rPr>
        <w:t xml:space="preserve">At pH 8.5, the growth rate was the highest, with OD600 reaching approximately 3.5 at around </w:t>
      </w:r>
      <w:r w:rsidR="007B338B">
        <w:rPr>
          <w:rFonts w:cs="Arial"/>
          <w:szCs w:val="18"/>
        </w:rPr>
        <w:t>40</w:t>
      </w:r>
      <w:r w:rsidRPr="001944F1">
        <w:rPr>
          <w:rFonts w:cs="Arial"/>
          <w:szCs w:val="18"/>
        </w:rPr>
        <w:t xml:space="preserve"> h, which was significantly higher than in the other pH conditions. However, after peaking, there was a sharp decline in OD600 after 40 h, indicating that the cells likely entered a stationary or death phase. These results suggest that while pH 8.5 supports the most rapid and highest growth initially, it may not sustain bacterial vi</w:t>
      </w:r>
      <w:r w:rsidR="00D858DA">
        <w:rPr>
          <w:rFonts w:cs="Arial"/>
          <w:szCs w:val="18"/>
        </w:rPr>
        <w:t>ability over a prolonged period</w:t>
      </w:r>
      <w:r w:rsidRPr="001944F1">
        <w:rPr>
          <w:rFonts w:cs="Arial"/>
          <w:szCs w:val="18"/>
        </w:rPr>
        <w:t>.</w:t>
      </w:r>
      <w:r w:rsidR="00D858DA">
        <w:rPr>
          <w:rFonts w:cs="Arial"/>
          <w:szCs w:val="18"/>
        </w:rPr>
        <w:t xml:space="preserve"> A</w:t>
      </w:r>
      <w:r w:rsidRPr="001944F1">
        <w:rPr>
          <w:rFonts w:cs="Arial"/>
          <w:szCs w:val="18"/>
        </w:rPr>
        <w:t xml:space="preserve">t pH 9.5, </w:t>
      </w:r>
      <w:r w:rsidRPr="001944F1">
        <w:rPr>
          <w:rFonts w:cs="Arial"/>
          <w:i/>
          <w:iCs/>
          <w:szCs w:val="18"/>
        </w:rPr>
        <w:t>Bacillus cereus</w:t>
      </w:r>
      <w:r w:rsidRPr="001944F1">
        <w:rPr>
          <w:rFonts w:cs="Arial"/>
          <w:szCs w:val="18"/>
        </w:rPr>
        <w:t xml:space="preserve"> showed slower </w:t>
      </w:r>
      <w:r w:rsidR="00D858DA">
        <w:rPr>
          <w:rFonts w:cs="Arial"/>
          <w:szCs w:val="18"/>
        </w:rPr>
        <w:t>as reaction proceeds</w:t>
      </w:r>
      <w:r w:rsidRPr="001944F1">
        <w:rPr>
          <w:rFonts w:cs="Arial"/>
          <w:szCs w:val="18"/>
        </w:rPr>
        <w:t xml:space="preserve"> compared to pH 7.5 and 8.5. The peak OD600 at pH 9.5 was lower (~2.</w:t>
      </w:r>
      <w:r w:rsidR="000562CD">
        <w:rPr>
          <w:rFonts w:cs="Arial"/>
          <w:szCs w:val="18"/>
        </w:rPr>
        <w:t>3</w:t>
      </w:r>
      <w:r w:rsidRPr="001944F1">
        <w:rPr>
          <w:rFonts w:cs="Arial"/>
          <w:szCs w:val="18"/>
        </w:rPr>
        <w:t xml:space="preserve">) and occurred around </w:t>
      </w:r>
      <w:r w:rsidR="00877CD0">
        <w:rPr>
          <w:rFonts w:cs="Arial"/>
          <w:szCs w:val="18"/>
        </w:rPr>
        <w:t>40</w:t>
      </w:r>
      <w:r w:rsidRPr="001944F1">
        <w:rPr>
          <w:rFonts w:cs="Arial"/>
          <w:szCs w:val="18"/>
        </w:rPr>
        <w:t xml:space="preserve"> h. </w:t>
      </w:r>
      <w:r w:rsidR="009347B9" w:rsidRPr="003903AC">
        <w:rPr>
          <w:rFonts w:cs="Arial"/>
          <w:szCs w:val="18"/>
        </w:rPr>
        <w:t>At</w:t>
      </w:r>
      <w:r w:rsidRPr="003903AC">
        <w:rPr>
          <w:rFonts w:cs="Arial"/>
          <w:szCs w:val="18"/>
        </w:rPr>
        <w:t xml:space="preserve"> 7.5 </w:t>
      </w:r>
      <w:r w:rsidR="003B545B">
        <w:rPr>
          <w:rFonts w:cs="Arial"/>
          <w:szCs w:val="18"/>
        </w:rPr>
        <w:t>there was</w:t>
      </w:r>
      <w:r w:rsidRPr="003903AC">
        <w:rPr>
          <w:rFonts w:cs="Arial"/>
          <w:szCs w:val="18"/>
        </w:rPr>
        <w:t xml:space="preserve"> more stable growth over a longer duration, indicating its suitability for sustained bacterial activity, it was also found to be the optimum pH by Rodrigo et al., 2021.</w:t>
      </w:r>
    </w:p>
    <w:p w14:paraId="1F7FF603" w14:textId="77CF454F" w:rsidR="001944F1" w:rsidRDefault="001944F1" w:rsidP="001944F1">
      <w:pPr>
        <w:spacing w:line="276" w:lineRule="auto"/>
        <w:rPr>
          <w:rFonts w:cs="Arial"/>
          <w:szCs w:val="18"/>
        </w:rPr>
      </w:pPr>
      <w:r w:rsidRPr="001944F1">
        <w:rPr>
          <w:rFonts w:cs="Arial"/>
          <w:szCs w:val="18"/>
        </w:rPr>
        <w:t>Conversely, pH 9.5 is less ideal for Bacillus cereus growth, as it limits the efficiency and biomass yield, likely due to stress factors associated with higher alkalinity (Clavel et al. 2004). In applications such as bioleaching or industrial processes, pH 8.5 may be optimal for short-term bacterial activity, while pH 7.5 would be more suitable for longer-term operations requiring sustained bacterial growth. pH 9.5 should generally be avoided, as it inhibits bacterial growth and reduces biomass yield. The ability for B. Cereus to grow at alkaline pH is significant for this study as the alkaline con</w:t>
      </w:r>
      <w:r w:rsidR="009347B9">
        <w:rPr>
          <w:rFonts w:cs="Arial"/>
          <w:szCs w:val="18"/>
        </w:rPr>
        <w:t>ditions do not support the</w:t>
      </w:r>
      <w:r w:rsidRPr="001944F1">
        <w:rPr>
          <w:rFonts w:cs="Arial"/>
          <w:szCs w:val="18"/>
        </w:rPr>
        <w:t xml:space="preserve"> gene</w:t>
      </w:r>
      <w:r w:rsidR="009347B9">
        <w:rPr>
          <w:rFonts w:cs="Arial"/>
          <w:szCs w:val="18"/>
        </w:rPr>
        <w:t xml:space="preserve">ration of HCN, toxic gas </w:t>
      </w:r>
      <w:r w:rsidRPr="001944F1">
        <w:rPr>
          <w:rFonts w:cs="Arial"/>
          <w:szCs w:val="18"/>
        </w:rPr>
        <w:t>(Ruiz-Bermejo et al., 2021).</w:t>
      </w:r>
      <w:r w:rsidR="00877CD0" w:rsidRPr="00877CD0">
        <w:rPr>
          <w:rFonts w:cs="Arial"/>
          <w:szCs w:val="18"/>
        </w:rPr>
        <w:t xml:space="preserve"> . Overall, pH 8.5 facilitated the fastest and highest bacterial growth, suggesting that </w:t>
      </w:r>
      <w:r w:rsidR="00877CD0" w:rsidRPr="00877CD0">
        <w:rPr>
          <w:rFonts w:cs="Arial"/>
          <w:i/>
          <w:iCs/>
          <w:szCs w:val="18"/>
        </w:rPr>
        <w:t>Bacillus cereus</w:t>
      </w:r>
      <w:r w:rsidR="00877CD0" w:rsidRPr="00877CD0">
        <w:rPr>
          <w:rFonts w:cs="Arial"/>
          <w:szCs w:val="18"/>
        </w:rPr>
        <w:t xml:space="preserve"> can tolerate slightly alkaline conditions and thrive more efficiently at this pH in the short term.</w:t>
      </w:r>
    </w:p>
    <w:p w14:paraId="0B0D8A7D" w14:textId="77777777" w:rsidR="001944F1" w:rsidRPr="001944F1" w:rsidRDefault="001944F1" w:rsidP="001944F1">
      <w:pPr>
        <w:numPr>
          <w:ilvl w:val="2"/>
          <w:numId w:val="1"/>
        </w:numPr>
        <w:spacing w:line="276" w:lineRule="auto"/>
        <w:rPr>
          <w:rFonts w:cs="Arial"/>
          <w:b/>
          <w:szCs w:val="18"/>
          <w:lang w:val="en-US"/>
        </w:rPr>
      </w:pPr>
      <w:r w:rsidRPr="001944F1">
        <w:rPr>
          <w:rFonts w:cs="Arial"/>
          <w:b/>
          <w:szCs w:val="18"/>
          <w:lang w:val="en-US"/>
        </w:rPr>
        <w:t xml:space="preserve">Results on optimum temperature </w:t>
      </w:r>
    </w:p>
    <w:p w14:paraId="21869622" w14:textId="1F6A5C4F" w:rsidR="001944F1" w:rsidRDefault="001944F1" w:rsidP="001944F1">
      <w:pPr>
        <w:spacing w:line="276" w:lineRule="auto"/>
        <w:rPr>
          <w:rFonts w:cs="Arial"/>
          <w:szCs w:val="18"/>
        </w:rPr>
      </w:pPr>
      <w:r w:rsidRPr="001944F1">
        <w:rPr>
          <w:rFonts w:cs="Arial"/>
          <w:szCs w:val="18"/>
        </w:rPr>
        <w:t>Three sets of reactors were subjected to different temperatures, 25</w:t>
      </w:r>
      <w:r w:rsidR="00FB78DB">
        <w:rPr>
          <w:rFonts w:cs="Arial"/>
          <w:szCs w:val="18"/>
        </w:rPr>
        <w:t xml:space="preserve"> </w:t>
      </w:r>
      <w:r w:rsidRPr="001944F1">
        <w:rPr>
          <w:rFonts w:ascii="Cambria Math" w:hAnsi="Cambria Math" w:cs="Cambria Math"/>
          <w:szCs w:val="18"/>
        </w:rPr>
        <w:t>⁰</w:t>
      </w:r>
      <w:r w:rsidRPr="001944F1">
        <w:rPr>
          <w:rFonts w:cs="Arial"/>
          <w:szCs w:val="18"/>
        </w:rPr>
        <w:t xml:space="preserve">C, </w:t>
      </w:r>
      <w:r w:rsidR="009347B9" w:rsidRPr="001944F1">
        <w:rPr>
          <w:rFonts w:cs="Arial"/>
          <w:szCs w:val="18"/>
        </w:rPr>
        <w:t>35</w:t>
      </w:r>
      <w:r w:rsidR="00FB78DB">
        <w:rPr>
          <w:rFonts w:cs="Arial"/>
          <w:szCs w:val="18"/>
        </w:rPr>
        <w:t xml:space="preserve"> </w:t>
      </w:r>
      <w:r w:rsidR="009347B9" w:rsidRPr="001944F1">
        <w:rPr>
          <w:rFonts w:ascii="Cambria Math" w:hAnsi="Cambria Math" w:cs="Cambria Math"/>
          <w:szCs w:val="18"/>
        </w:rPr>
        <w:t>⁰</w:t>
      </w:r>
      <w:r w:rsidR="009347B9" w:rsidRPr="001944F1">
        <w:rPr>
          <w:rFonts w:cs="Arial"/>
          <w:szCs w:val="18"/>
        </w:rPr>
        <w:t>C</w:t>
      </w:r>
      <w:r w:rsidR="009347B9" w:rsidRPr="001944F1" w:rsidDel="00A24D32">
        <w:rPr>
          <w:rFonts w:cs="Arial"/>
          <w:szCs w:val="18"/>
        </w:rPr>
        <w:t xml:space="preserve"> </w:t>
      </w:r>
      <w:r w:rsidR="009347B9" w:rsidRPr="001944F1">
        <w:rPr>
          <w:rFonts w:cs="Arial"/>
          <w:szCs w:val="18"/>
        </w:rPr>
        <w:t>and</w:t>
      </w:r>
      <w:r w:rsidRPr="001944F1">
        <w:rPr>
          <w:rFonts w:cs="Arial"/>
          <w:szCs w:val="18"/>
        </w:rPr>
        <w:t xml:space="preserve"> 45</w:t>
      </w:r>
      <w:r w:rsidR="00FB78DB">
        <w:rPr>
          <w:rFonts w:cs="Arial"/>
          <w:szCs w:val="18"/>
        </w:rPr>
        <w:t xml:space="preserve"> </w:t>
      </w:r>
      <w:r w:rsidRPr="001944F1">
        <w:rPr>
          <w:rFonts w:ascii="Cambria Math" w:hAnsi="Cambria Math" w:cs="Cambria Math"/>
          <w:szCs w:val="18"/>
        </w:rPr>
        <w:t>⁰</w:t>
      </w:r>
      <w:r w:rsidRPr="001944F1">
        <w:rPr>
          <w:rFonts w:cs="Arial"/>
          <w:szCs w:val="18"/>
        </w:rPr>
        <w:t>C.</w:t>
      </w:r>
      <w:r w:rsidR="00A46DEE">
        <w:rPr>
          <w:rFonts w:cs="Arial"/>
          <w:szCs w:val="18"/>
        </w:rPr>
        <w:t xml:space="preserve"> </w:t>
      </w:r>
    </w:p>
    <w:p w14:paraId="06FC1BD8" w14:textId="77777777" w:rsidR="00727C2C" w:rsidRPr="001944F1" w:rsidRDefault="00727C2C" w:rsidP="001944F1">
      <w:pPr>
        <w:spacing w:line="276" w:lineRule="auto"/>
        <w:rPr>
          <w:rFonts w:cs="Arial"/>
          <w:szCs w:val="18"/>
        </w:rPr>
      </w:pPr>
    </w:p>
    <w:p w14:paraId="23A41CBA" w14:textId="392EFEBC" w:rsidR="00727C2C" w:rsidRDefault="00727C2C" w:rsidP="001944F1">
      <w:pPr>
        <w:spacing w:line="276" w:lineRule="auto"/>
        <w:rPr>
          <w:rFonts w:cs="Arial"/>
          <w:noProof/>
          <w:szCs w:val="18"/>
          <w:lang w:eastAsia="en-GB"/>
        </w:rPr>
      </w:pPr>
      <w:r w:rsidRPr="00727C2C">
        <w:rPr>
          <w:noProof/>
          <w:lang w:eastAsia="en-GB"/>
        </w:rPr>
        <w:drawing>
          <wp:inline distT="0" distB="0" distL="0" distR="0" wp14:anchorId="431ECFB6" wp14:editId="17F77124">
            <wp:extent cx="4065158" cy="26555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6956" cy="2702470"/>
                    </a:xfrm>
                    <a:prstGeom prst="rect">
                      <a:avLst/>
                    </a:prstGeom>
                    <a:noFill/>
                    <a:ln>
                      <a:noFill/>
                    </a:ln>
                  </pic:spPr>
                </pic:pic>
              </a:graphicData>
            </a:graphic>
          </wp:inline>
        </w:drawing>
      </w:r>
    </w:p>
    <w:p w14:paraId="1636247E" w14:textId="5DECD19E" w:rsidR="00FD006A" w:rsidRDefault="00FD006A" w:rsidP="001944F1">
      <w:pPr>
        <w:spacing w:line="276" w:lineRule="auto"/>
        <w:rPr>
          <w:rFonts w:cs="Arial"/>
          <w:i/>
          <w:szCs w:val="18"/>
        </w:rPr>
      </w:pPr>
      <w:r w:rsidRPr="00FD006A">
        <w:rPr>
          <w:rFonts w:cs="Arial"/>
          <w:i/>
          <w:szCs w:val="18"/>
        </w:rPr>
        <w:t>Fig</w:t>
      </w:r>
      <w:r w:rsidR="00296624">
        <w:rPr>
          <w:rFonts w:cs="Arial"/>
          <w:i/>
          <w:szCs w:val="18"/>
        </w:rPr>
        <w:t>ure</w:t>
      </w:r>
      <w:r w:rsidRPr="00FD006A">
        <w:rPr>
          <w:rFonts w:cs="Arial"/>
          <w:i/>
          <w:szCs w:val="18"/>
        </w:rPr>
        <w:t xml:space="preserve"> 2: OD600 at different temperatures</w:t>
      </w:r>
    </w:p>
    <w:p w14:paraId="6B243BB3" w14:textId="77777777" w:rsidR="00FD006A" w:rsidRPr="00FD006A" w:rsidRDefault="00FD006A" w:rsidP="001944F1">
      <w:pPr>
        <w:spacing w:line="276" w:lineRule="auto"/>
        <w:rPr>
          <w:rFonts w:cs="Arial"/>
          <w:i/>
          <w:szCs w:val="18"/>
        </w:rPr>
      </w:pPr>
    </w:p>
    <w:p w14:paraId="3111DA74" w14:textId="6E4CCED1" w:rsidR="001944F1" w:rsidRPr="001944F1" w:rsidRDefault="001944F1" w:rsidP="001944F1">
      <w:pPr>
        <w:spacing w:line="276" w:lineRule="auto"/>
        <w:rPr>
          <w:rFonts w:cs="Arial"/>
          <w:szCs w:val="18"/>
        </w:rPr>
      </w:pPr>
      <w:r w:rsidRPr="001944F1">
        <w:rPr>
          <w:rFonts w:cs="Arial"/>
          <w:szCs w:val="18"/>
        </w:rPr>
        <w:t>At 25</w:t>
      </w:r>
      <w:r w:rsidR="00FB78DB">
        <w:rPr>
          <w:rFonts w:cs="Arial"/>
          <w:szCs w:val="18"/>
        </w:rPr>
        <w:t xml:space="preserve"> </w:t>
      </w:r>
      <w:r w:rsidRPr="001944F1">
        <w:rPr>
          <w:rFonts w:cs="Arial"/>
          <w:szCs w:val="18"/>
        </w:rPr>
        <w:t>°C growth is slower compared to the other temperatures</w:t>
      </w:r>
      <w:r w:rsidR="00722391">
        <w:rPr>
          <w:rFonts w:cs="Arial"/>
          <w:szCs w:val="18"/>
        </w:rPr>
        <w:t xml:space="preserve"> and achieves the highest at the end of the experiment</w:t>
      </w:r>
      <w:r w:rsidRPr="001944F1">
        <w:rPr>
          <w:rFonts w:cs="Arial"/>
          <w:szCs w:val="18"/>
        </w:rPr>
        <w:t xml:space="preserve"> </w:t>
      </w:r>
      <w:r w:rsidR="00722391">
        <w:rPr>
          <w:rFonts w:cs="Arial"/>
          <w:szCs w:val="18"/>
        </w:rPr>
        <w:t>of</w:t>
      </w:r>
      <w:r w:rsidRPr="001944F1">
        <w:rPr>
          <w:rFonts w:cs="Arial"/>
          <w:szCs w:val="18"/>
        </w:rPr>
        <w:t xml:space="preserve"> 48 </w:t>
      </w:r>
      <w:r w:rsidR="000562CD">
        <w:rPr>
          <w:rFonts w:cs="Arial"/>
          <w:szCs w:val="18"/>
        </w:rPr>
        <w:t xml:space="preserve">hours. </w:t>
      </w:r>
      <w:r w:rsidRPr="00C472B7">
        <w:rPr>
          <w:rFonts w:cs="Arial"/>
          <w:szCs w:val="18"/>
        </w:rPr>
        <w:t>At the temperature</w:t>
      </w:r>
      <w:r w:rsidRPr="001944F1">
        <w:rPr>
          <w:rFonts w:cs="Arial"/>
          <w:szCs w:val="18"/>
        </w:rPr>
        <w:t xml:space="preserve"> of 35</w:t>
      </w:r>
      <w:r w:rsidR="00FB78DB">
        <w:rPr>
          <w:rFonts w:cs="Arial"/>
          <w:szCs w:val="18"/>
        </w:rPr>
        <w:t xml:space="preserve"> </w:t>
      </w:r>
      <w:r w:rsidRPr="001944F1">
        <w:rPr>
          <w:rFonts w:cs="Arial"/>
          <w:szCs w:val="18"/>
        </w:rPr>
        <w:t>°C the fastest growth rate and highest final OD600 was reached, suggesting it is the optimal temperature for this bacterial strain. While growth is observed at 45</w:t>
      </w:r>
      <w:r w:rsidR="00FB78DB">
        <w:rPr>
          <w:rFonts w:cs="Arial"/>
          <w:szCs w:val="18"/>
        </w:rPr>
        <w:t xml:space="preserve"> </w:t>
      </w:r>
      <w:r w:rsidRPr="001944F1">
        <w:rPr>
          <w:rFonts w:cs="Arial"/>
          <w:szCs w:val="18"/>
        </w:rPr>
        <w:t>°C, it is slower compared to 35</w:t>
      </w:r>
      <w:r w:rsidR="00FB78DB">
        <w:rPr>
          <w:rFonts w:cs="Arial"/>
          <w:szCs w:val="18"/>
        </w:rPr>
        <w:t xml:space="preserve"> </w:t>
      </w:r>
      <w:r w:rsidRPr="001944F1">
        <w:rPr>
          <w:rFonts w:cs="Arial"/>
          <w:szCs w:val="18"/>
        </w:rPr>
        <w:t>°C, and the final OD600 is slightly lower. This indicates that 45°C may be near the upper limit of the bacteria's tolerance as supported by Dubey (2011) whose study found the range between 20-40</w:t>
      </w:r>
      <w:r w:rsidR="00FB78DB">
        <w:rPr>
          <w:rFonts w:cs="Arial"/>
          <w:szCs w:val="18"/>
        </w:rPr>
        <w:t xml:space="preserve"> </w:t>
      </w:r>
      <w:r w:rsidRPr="001944F1">
        <w:rPr>
          <w:rFonts w:cs="Arial"/>
          <w:szCs w:val="18"/>
        </w:rPr>
        <w:t>°C and optimum growth at temperature of 30</w:t>
      </w:r>
      <w:r w:rsidR="00FB78DB">
        <w:rPr>
          <w:rFonts w:cs="Arial"/>
          <w:szCs w:val="18"/>
        </w:rPr>
        <w:t xml:space="preserve"> </w:t>
      </w:r>
      <w:r w:rsidR="00FB78DB" w:rsidRPr="001944F1">
        <w:rPr>
          <w:rFonts w:cs="Arial"/>
          <w:szCs w:val="18"/>
        </w:rPr>
        <w:t>°</w:t>
      </w:r>
      <w:r w:rsidRPr="001944F1">
        <w:rPr>
          <w:rFonts w:cs="Arial"/>
          <w:szCs w:val="18"/>
        </w:rPr>
        <w:t>C</w:t>
      </w:r>
      <w:r w:rsidR="00FB78DB">
        <w:rPr>
          <w:rFonts w:cs="Arial"/>
          <w:szCs w:val="18"/>
        </w:rPr>
        <w:t>.</w:t>
      </w:r>
      <w:r w:rsidRPr="001944F1">
        <w:rPr>
          <w:rFonts w:cs="Arial"/>
          <w:szCs w:val="18"/>
        </w:rPr>
        <w:t xml:space="preserve"> </w:t>
      </w:r>
    </w:p>
    <w:p w14:paraId="14F6563B" w14:textId="77777777" w:rsidR="001944F1" w:rsidRPr="001944F1" w:rsidRDefault="001944F1" w:rsidP="001944F1">
      <w:pPr>
        <w:spacing w:line="276" w:lineRule="auto"/>
        <w:rPr>
          <w:rFonts w:cs="Arial"/>
          <w:szCs w:val="18"/>
        </w:rPr>
      </w:pPr>
    </w:p>
    <w:p w14:paraId="4956D0DA" w14:textId="77777777" w:rsidR="001944F1" w:rsidRDefault="001944F1" w:rsidP="001944F1">
      <w:pPr>
        <w:numPr>
          <w:ilvl w:val="2"/>
          <w:numId w:val="1"/>
        </w:numPr>
        <w:spacing w:line="276" w:lineRule="auto"/>
        <w:rPr>
          <w:rFonts w:cs="Arial"/>
          <w:b/>
          <w:szCs w:val="18"/>
          <w:lang w:val="en-US"/>
        </w:rPr>
      </w:pPr>
      <w:r w:rsidRPr="001944F1">
        <w:rPr>
          <w:rFonts w:cs="Arial"/>
          <w:b/>
          <w:szCs w:val="18"/>
          <w:lang w:val="en-US"/>
        </w:rPr>
        <w:t>pH and ORP Changes</w:t>
      </w:r>
    </w:p>
    <w:p w14:paraId="4E641425" w14:textId="30758610" w:rsidR="00A46DEE" w:rsidRDefault="00350A75" w:rsidP="00756AA2">
      <w:pPr>
        <w:spacing w:line="276" w:lineRule="auto"/>
        <w:rPr>
          <w:rFonts w:cs="Arial"/>
          <w:szCs w:val="18"/>
          <w:lang w:val="en-US"/>
        </w:rPr>
      </w:pPr>
      <w:r w:rsidRPr="00350A75">
        <w:rPr>
          <w:rFonts w:cs="Arial"/>
          <w:szCs w:val="18"/>
          <w:lang w:val="en-US"/>
        </w:rPr>
        <w:t>The pH and ORP changes were measured for the different setups.</w:t>
      </w:r>
    </w:p>
    <w:p w14:paraId="06DFBAA1" w14:textId="20B56EF4" w:rsidR="00283BCB" w:rsidRPr="00350A75" w:rsidRDefault="00507309" w:rsidP="00756AA2">
      <w:pPr>
        <w:spacing w:line="276" w:lineRule="auto"/>
        <w:rPr>
          <w:rFonts w:cs="Arial"/>
          <w:szCs w:val="18"/>
          <w:lang w:val="en-US"/>
        </w:rPr>
      </w:pPr>
      <w:r w:rsidRPr="00507309">
        <w:rPr>
          <w:noProof/>
          <w:lang w:eastAsia="en-GB"/>
        </w:rPr>
        <w:drawing>
          <wp:inline distT="0" distB="0" distL="0" distR="0" wp14:anchorId="5D8B3DB8" wp14:editId="719B161D">
            <wp:extent cx="5579745" cy="2353823"/>
            <wp:effectExtent l="0" t="0" r="190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353823"/>
                    </a:xfrm>
                    <a:prstGeom prst="rect">
                      <a:avLst/>
                    </a:prstGeom>
                    <a:noFill/>
                    <a:ln>
                      <a:noFill/>
                    </a:ln>
                  </pic:spPr>
                </pic:pic>
              </a:graphicData>
            </a:graphic>
          </wp:inline>
        </w:drawing>
      </w:r>
    </w:p>
    <w:p w14:paraId="2297169C" w14:textId="7820248D" w:rsidR="001944F1" w:rsidRDefault="001944F1" w:rsidP="001944F1">
      <w:pPr>
        <w:spacing w:line="276" w:lineRule="auto"/>
        <w:rPr>
          <w:rFonts w:cs="Arial"/>
          <w:szCs w:val="18"/>
        </w:rPr>
      </w:pPr>
    </w:p>
    <w:p w14:paraId="034E31BE" w14:textId="5AED5543" w:rsidR="00571E17" w:rsidRPr="00571E17" w:rsidRDefault="00571E17" w:rsidP="001944F1">
      <w:pPr>
        <w:spacing w:line="276" w:lineRule="auto"/>
        <w:rPr>
          <w:rFonts w:cs="Arial"/>
          <w:i/>
          <w:szCs w:val="18"/>
        </w:rPr>
      </w:pPr>
      <w:r w:rsidRPr="00571E17">
        <w:rPr>
          <w:rFonts w:cs="Arial"/>
          <w:i/>
          <w:szCs w:val="18"/>
        </w:rPr>
        <w:t>Fig</w:t>
      </w:r>
      <w:r w:rsidR="00296624">
        <w:rPr>
          <w:rFonts w:cs="Arial"/>
          <w:i/>
          <w:szCs w:val="18"/>
        </w:rPr>
        <w:t>ure</w:t>
      </w:r>
      <w:r w:rsidRPr="00571E17">
        <w:rPr>
          <w:rFonts w:cs="Arial"/>
          <w:i/>
          <w:szCs w:val="18"/>
        </w:rPr>
        <w:t xml:space="preserve"> 3: pH versus ORP in 72 hours</w:t>
      </w:r>
    </w:p>
    <w:p w14:paraId="194B293A" w14:textId="6BB8D5FC" w:rsidR="001944F1" w:rsidRPr="001944F1" w:rsidRDefault="001944F1" w:rsidP="001944F1">
      <w:pPr>
        <w:spacing w:line="276" w:lineRule="auto"/>
        <w:rPr>
          <w:rFonts w:cs="Arial"/>
          <w:szCs w:val="18"/>
        </w:rPr>
      </w:pPr>
      <w:r w:rsidRPr="001944F1">
        <w:rPr>
          <w:rFonts w:cs="Arial"/>
          <w:szCs w:val="18"/>
        </w:rPr>
        <w:t xml:space="preserve">The pH values across the different reactors started out at basic then shifted to neutral (ranging from 9.5 to 7). </w:t>
      </w:r>
      <w:r w:rsidR="000562CD">
        <w:rPr>
          <w:rFonts w:cs="Arial"/>
          <w:szCs w:val="18"/>
        </w:rPr>
        <w:t xml:space="preserve">The </w:t>
      </w:r>
      <w:r w:rsidR="000562CD" w:rsidRPr="000562CD">
        <w:rPr>
          <w:rFonts w:cs="Arial"/>
          <w:szCs w:val="18"/>
        </w:rPr>
        <w:t xml:space="preserve">main pathways of </w:t>
      </w:r>
      <w:r w:rsidR="000562CD">
        <w:rPr>
          <w:rFonts w:cs="Arial"/>
          <w:szCs w:val="18"/>
        </w:rPr>
        <w:t>cyanide</w:t>
      </w:r>
      <w:r w:rsidR="000562CD" w:rsidRPr="000562CD">
        <w:rPr>
          <w:rFonts w:cs="Arial"/>
          <w:szCs w:val="18"/>
        </w:rPr>
        <w:t xml:space="preserve"> detoxification are conversion to thiocyanate</w:t>
      </w:r>
      <w:r w:rsidR="000562CD">
        <w:rPr>
          <w:rFonts w:cs="Arial"/>
          <w:szCs w:val="18"/>
        </w:rPr>
        <w:t xml:space="preserve"> (</w:t>
      </w:r>
      <w:r w:rsidR="000562CD" w:rsidRPr="000562CD">
        <w:t>Lachowicz</w:t>
      </w:r>
      <w:r w:rsidR="000562CD">
        <w:t xml:space="preserve"> et al., 2024</w:t>
      </w:r>
      <w:r w:rsidR="000562CD">
        <w:rPr>
          <w:rFonts w:cs="Arial"/>
          <w:szCs w:val="18"/>
        </w:rPr>
        <w:t xml:space="preserve">). Additionally, hydrolysis of cyanide produces HCN a weak acid, </w:t>
      </w:r>
      <w:r w:rsidR="000562CD">
        <w:t>organic acids or other acidic intermediates or release of CO</w:t>
      </w:r>
      <w:r w:rsidR="000562CD" w:rsidRPr="000562CD">
        <w:rPr>
          <w:vertAlign w:val="subscript"/>
        </w:rPr>
        <w:t>2</w:t>
      </w:r>
      <w:r w:rsidR="000562CD">
        <w:t xml:space="preserve"> forming carbonic acid (</w:t>
      </w:r>
      <w:r w:rsidR="000562CD" w:rsidRPr="000562CD">
        <w:t>Lachowicz</w:t>
      </w:r>
      <w:r w:rsidR="000562CD">
        <w:t xml:space="preserve"> et al., 2024).</w:t>
      </w:r>
      <w:r w:rsidR="000562CD">
        <w:rPr>
          <w:rFonts w:cs="Arial"/>
          <w:szCs w:val="18"/>
        </w:rPr>
        <w:t xml:space="preserve"> This was followed by </w:t>
      </w:r>
      <w:r w:rsidRPr="001944F1">
        <w:rPr>
          <w:rFonts w:cs="Arial"/>
          <w:szCs w:val="18"/>
        </w:rPr>
        <w:t>a modest increase or stabilization, which can typically be attributed to microbial or chemical processes occurring in the reactors.</w:t>
      </w:r>
      <w:r w:rsidR="000562CD">
        <w:rPr>
          <w:rFonts w:cs="Arial"/>
          <w:szCs w:val="18"/>
        </w:rPr>
        <w:t xml:space="preserve"> </w:t>
      </w:r>
      <w:r w:rsidRPr="00DE5933">
        <w:rPr>
          <w:rFonts w:cs="Arial"/>
          <w:szCs w:val="18"/>
        </w:rPr>
        <w:t xml:space="preserve">In microbial systems, pH changes are often linked to the metabolism of the microorganisms, such as the conversion of </w:t>
      </w:r>
      <w:r w:rsidR="000562CD">
        <w:rPr>
          <w:rFonts w:cs="Arial"/>
          <w:szCs w:val="18"/>
        </w:rPr>
        <w:t>cyanide and intermediate products</w:t>
      </w:r>
      <w:r w:rsidRPr="00DE5933">
        <w:rPr>
          <w:rFonts w:cs="Arial"/>
          <w:szCs w:val="18"/>
        </w:rPr>
        <w:t xml:space="preserve"> to less toxic products like ammonia, which can increase the pH in the system (Akcil &amp; Mudder, 2003, Quirozz </w:t>
      </w:r>
      <w:r w:rsidRPr="00DE5933">
        <w:rPr>
          <w:rFonts w:cs="Arial"/>
          <w:i/>
          <w:szCs w:val="18"/>
        </w:rPr>
        <w:t>et al</w:t>
      </w:r>
      <w:r w:rsidRPr="00DE5933">
        <w:rPr>
          <w:rFonts w:cs="Arial"/>
          <w:szCs w:val="18"/>
        </w:rPr>
        <w:t xml:space="preserve">., 2023). </w:t>
      </w:r>
    </w:p>
    <w:p w14:paraId="2FF4C4DF" w14:textId="47EFEB9B" w:rsidR="001944F1" w:rsidRDefault="001944F1" w:rsidP="001944F1">
      <w:pPr>
        <w:spacing w:line="276" w:lineRule="auto"/>
        <w:rPr>
          <w:rFonts w:cs="Arial"/>
          <w:szCs w:val="18"/>
        </w:rPr>
      </w:pPr>
      <w:r w:rsidRPr="001944F1">
        <w:rPr>
          <w:rFonts w:cs="Arial"/>
          <w:szCs w:val="18"/>
        </w:rPr>
        <w:t xml:space="preserve">The ORP values in the reactors were generally negative, fluctuating between -20 mV and -120 mV. Initially, there was some </w:t>
      </w:r>
      <w:r w:rsidR="000562CD">
        <w:rPr>
          <w:rFonts w:cs="Arial"/>
          <w:szCs w:val="18"/>
        </w:rPr>
        <w:t>increase</w:t>
      </w:r>
      <w:r w:rsidRPr="001944F1">
        <w:rPr>
          <w:rFonts w:cs="Arial"/>
          <w:szCs w:val="18"/>
        </w:rPr>
        <w:t xml:space="preserve"> in the ORP values among the reactors, but over time, they stabilized at </w:t>
      </w:r>
      <w:r w:rsidR="004E0B1C">
        <w:rPr>
          <w:rFonts w:cs="Arial"/>
          <w:szCs w:val="18"/>
        </w:rPr>
        <w:t xml:space="preserve">less </w:t>
      </w:r>
      <w:r w:rsidRPr="001944F1">
        <w:rPr>
          <w:rFonts w:cs="Arial"/>
          <w:szCs w:val="18"/>
        </w:rPr>
        <w:t xml:space="preserve">negative </w:t>
      </w:r>
      <w:r w:rsidR="000562CD">
        <w:rPr>
          <w:rFonts w:cs="Arial"/>
          <w:szCs w:val="18"/>
        </w:rPr>
        <w:t>values</w:t>
      </w:r>
      <w:r w:rsidRPr="001944F1">
        <w:rPr>
          <w:rFonts w:cs="Arial"/>
          <w:szCs w:val="18"/>
        </w:rPr>
        <w:t>. Negative ORP values are indicative of reducing conditions, which typically suggest that oxygen or other strong electron acceptors are limited or absent. This is common in microbial processes that involve the reduction of compounds, such as cyanide degradation, where bacteria utilize alternative electron acceptors (Dash et al., 2009). This is likely associated with the consumption of cyanide and the release of by-products like ammonia, which also contribute to the lowering of the ORP (Akcil &amp; Mudder, 2003). In such systems, the degradation of toxic compounds like cyanide often creates anaerobic or facultative anaerobic conditions, which are characterized by negative ORP values (</w:t>
      </w:r>
      <w:r w:rsidR="002822B7">
        <w:rPr>
          <w:rFonts w:cs="Arial"/>
          <w:szCs w:val="18"/>
        </w:rPr>
        <w:t>Wang</w:t>
      </w:r>
      <w:r w:rsidRPr="001944F1">
        <w:rPr>
          <w:rFonts w:cs="Arial"/>
          <w:szCs w:val="18"/>
        </w:rPr>
        <w:t xml:space="preserve"> et al., 20</w:t>
      </w:r>
      <w:r w:rsidR="00AF231F">
        <w:rPr>
          <w:rFonts w:cs="Arial"/>
          <w:szCs w:val="18"/>
        </w:rPr>
        <w:t>22</w:t>
      </w:r>
      <w:r w:rsidRPr="001944F1">
        <w:rPr>
          <w:rFonts w:cs="Arial"/>
          <w:szCs w:val="18"/>
        </w:rPr>
        <w:t>). The bacteria, likely facultative anaerobes, would be able to thrive under these conditions and continue degrading cyanide even in the absence of oxygen (Bottone, 2010).</w:t>
      </w:r>
      <w:r w:rsidR="000562CD">
        <w:rPr>
          <w:rFonts w:cs="Arial"/>
          <w:szCs w:val="18"/>
        </w:rPr>
        <w:t xml:space="preserve"> </w:t>
      </w:r>
      <w:r w:rsidRPr="001944F1">
        <w:rPr>
          <w:rFonts w:cs="Arial"/>
          <w:szCs w:val="18"/>
        </w:rPr>
        <w:t>The shift towards these reducing conditions, marked by the negative ORP and stable pH, suggests that the system achieved a steady state, likely after the majority of cyanide had been converted to less toxic compounds, supporting the hypothesis that the bacteria were effectively metabolizing cyanide under these conditions. This aligns with previous studies on cyanide degradation, where anaerobic or facultative anaerobic conditions support the microbial breakdown of cyanide and other toxic compounds (Akcil &amp; Mudder, 2003; Dash et al., 2009; Bottone, 2010).</w:t>
      </w:r>
    </w:p>
    <w:p w14:paraId="612ED516" w14:textId="77777777" w:rsidR="000562CD" w:rsidRPr="001944F1" w:rsidRDefault="000562CD" w:rsidP="001944F1">
      <w:pPr>
        <w:spacing w:line="276" w:lineRule="auto"/>
        <w:rPr>
          <w:rFonts w:cs="Arial"/>
          <w:szCs w:val="18"/>
        </w:rPr>
      </w:pPr>
    </w:p>
    <w:p w14:paraId="5C31673E" w14:textId="3C0E339F" w:rsidR="001944F1" w:rsidRDefault="00440CC2" w:rsidP="001944F1">
      <w:pPr>
        <w:numPr>
          <w:ilvl w:val="2"/>
          <w:numId w:val="1"/>
        </w:numPr>
        <w:spacing w:line="276" w:lineRule="auto"/>
        <w:rPr>
          <w:rFonts w:cs="Arial"/>
          <w:b/>
          <w:szCs w:val="18"/>
          <w:lang w:val="en-US"/>
        </w:rPr>
      </w:pPr>
      <w:r>
        <w:rPr>
          <w:rFonts w:cs="Arial"/>
          <w:b/>
          <w:szCs w:val="18"/>
          <w:lang w:val="en-US"/>
        </w:rPr>
        <w:t xml:space="preserve">Substrate </w:t>
      </w:r>
      <w:r w:rsidR="001944F1" w:rsidRPr="001944F1">
        <w:rPr>
          <w:rFonts w:cs="Arial"/>
          <w:b/>
          <w:szCs w:val="18"/>
          <w:lang w:val="en-US"/>
        </w:rPr>
        <w:t>Degradation:</w:t>
      </w:r>
    </w:p>
    <w:p w14:paraId="039D08F2" w14:textId="160EED3D" w:rsidR="00440CC2" w:rsidRPr="00440CC2" w:rsidRDefault="00440CC2" w:rsidP="00440CC2">
      <w:pPr>
        <w:spacing w:line="276" w:lineRule="auto"/>
        <w:rPr>
          <w:rFonts w:cs="Arial"/>
          <w:szCs w:val="18"/>
          <w:lang w:val="en-US"/>
        </w:rPr>
      </w:pPr>
      <w:r w:rsidRPr="00440CC2">
        <w:rPr>
          <w:rFonts w:cs="Arial"/>
          <w:szCs w:val="18"/>
          <w:lang w:val="en-US"/>
        </w:rPr>
        <w:t>Cyanide and glucose were used as potential substrates and the degradation was noted as shown in Fig 4.</w:t>
      </w:r>
    </w:p>
    <w:p w14:paraId="2760F467" w14:textId="798C9E52" w:rsidR="00E358FE" w:rsidRDefault="00E45BD4" w:rsidP="001944F1">
      <w:pPr>
        <w:spacing w:line="276" w:lineRule="auto"/>
        <w:rPr>
          <w:rFonts w:cs="Arial"/>
          <w:i/>
          <w:noProof/>
          <w:szCs w:val="18"/>
          <w:lang w:eastAsia="en-GB"/>
        </w:rPr>
      </w:pPr>
      <w:r>
        <w:rPr>
          <w:noProof/>
          <w:lang w:eastAsia="en-GB"/>
        </w:rPr>
        <w:drawing>
          <wp:inline distT="0" distB="0" distL="0" distR="0" wp14:anchorId="37F7B2EA" wp14:editId="2238FE3E">
            <wp:extent cx="2724150" cy="1762125"/>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A25FB">
        <w:rPr>
          <w:noProof/>
          <w:lang w:eastAsia="en-GB"/>
        </w:rPr>
        <w:drawing>
          <wp:inline distT="0" distB="0" distL="0" distR="0" wp14:anchorId="22A2B131" wp14:editId="35656AD1">
            <wp:extent cx="2847975" cy="1800225"/>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46F14">
        <w:rPr>
          <w:rFonts w:cs="Arial"/>
          <w:i/>
          <w:noProof/>
          <w:szCs w:val="18"/>
          <w:lang w:eastAsia="en-GB"/>
        </w:rPr>
        <w:t xml:space="preserve"> </w:t>
      </w:r>
    </w:p>
    <w:p w14:paraId="65AC3D56" w14:textId="7207608D" w:rsidR="00507309" w:rsidRDefault="00571E17" w:rsidP="001944F1">
      <w:pPr>
        <w:spacing w:line="276" w:lineRule="auto"/>
        <w:rPr>
          <w:rFonts w:cs="Arial"/>
          <w:i/>
          <w:szCs w:val="18"/>
        </w:rPr>
      </w:pPr>
      <w:r w:rsidRPr="00571E17">
        <w:rPr>
          <w:rFonts w:cs="Arial"/>
          <w:i/>
          <w:szCs w:val="18"/>
        </w:rPr>
        <w:t>Fig</w:t>
      </w:r>
      <w:r w:rsidR="00296624">
        <w:rPr>
          <w:rFonts w:cs="Arial"/>
          <w:i/>
          <w:szCs w:val="18"/>
        </w:rPr>
        <w:t>ure</w:t>
      </w:r>
      <w:r w:rsidRPr="00571E17">
        <w:rPr>
          <w:rFonts w:cs="Arial"/>
          <w:i/>
          <w:szCs w:val="18"/>
        </w:rPr>
        <w:t xml:space="preserve"> 4: a) Cyanide degradation in 72 hours b) </w:t>
      </w:r>
      <w:r w:rsidR="00E358FE">
        <w:rPr>
          <w:rFonts w:cs="Arial"/>
          <w:i/>
          <w:szCs w:val="18"/>
        </w:rPr>
        <w:t>Cyanide vs glucose depletion</w:t>
      </w:r>
    </w:p>
    <w:p w14:paraId="7A129184" w14:textId="77777777" w:rsidR="007D7AE7" w:rsidRPr="00571E17" w:rsidRDefault="007D7AE7" w:rsidP="001944F1">
      <w:pPr>
        <w:spacing w:line="276" w:lineRule="auto"/>
        <w:rPr>
          <w:rFonts w:cs="Arial"/>
          <w:i/>
          <w:szCs w:val="18"/>
        </w:rPr>
      </w:pPr>
    </w:p>
    <w:p w14:paraId="162F485C" w14:textId="4C40CB68" w:rsidR="001944F1" w:rsidRDefault="001944F1" w:rsidP="001944F1">
      <w:pPr>
        <w:spacing w:line="276" w:lineRule="auto"/>
        <w:rPr>
          <w:rFonts w:cs="Arial"/>
          <w:szCs w:val="18"/>
          <w:lang w:val="en-US"/>
        </w:rPr>
      </w:pPr>
      <w:r w:rsidRPr="001944F1">
        <w:rPr>
          <w:rFonts w:cs="Arial"/>
          <w:szCs w:val="18"/>
          <w:lang w:val="en-US"/>
        </w:rPr>
        <w:t xml:space="preserve">Cyanide concentrations decrease with a rate of between 91-98% over time in all experimental </w:t>
      </w:r>
      <w:r w:rsidRPr="00C472B7">
        <w:rPr>
          <w:rFonts w:cs="Arial"/>
          <w:szCs w:val="18"/>
          <w:lang w:val="en-US"/>
        </w:rPr>
        <w:t>setups. The</w:t>
      </w:r>
      <w:r w:rsidRPr="001944F1">
        <w:rPr>
          <w:rFonts w:cs="Arial"/>
          <w:szCs w:val="18"/>
          <w:lang w:val="en-US"/>
        </w:rPr>
        <w:t xml:space="preserve"> depletion of cyanide appears consistent across 24 h to 72h period, regardless of the initial concentration. </w:t>
      </w:r>
      <w:r w:rsidR="00BD440E">
        <w:rPr>
          <w:rFonts w:cs="Arial"/>
          <w:szCs w:val="18"/>
          <w:lang w:val="en-US"/>
        </w:rPr>
        <w:t>The degradation of cyanide results in intermediate products such as thiocyanates and other nitrogen compounds (</w:t>
      </w:r>
      <w:r w:rsidR="00FC69FF">
        <w:rPr>
          <w:rFonts w:cs="Arial"/>
          <w:szCs w:val="18"/>
          <w:lang w:val="en-US"/>
        </w:rPr>
        <w:t>Ebbs, 2004;</w:t>
      </w:r>
      <w:r w:rsidR="00FC69FF" w:rsidRPr="00FC69FF">
        <w:t xml:space="preserve"> </w:t>
      </w:r>
      <w:r w:rsidR="00FC69FF" w:rsidRPr="00FC69FF">
        <w:rPr>
          <w:rFonts w:cs="Arial"/>
          <w:szCs w:val="18"/>
          <w:lang w:val="en-US"/>
        </w:rPr>
        <w:t>Lachowicz</w:t>
      </w:r>
      <w:r w:rsidR="00FC69FF">
        <w:rPr>
          <w:rFonts w:cs="Arial"/>
          <w:szCs w:val="18"/>
          <w:lang w:val="en-US"/>
        </w:rPr>
        <w:t>, 2024)</w:t>
      </w:r>
      <w:r w:rsidR="00BD440E">
        <w:rPr>
          <w:rFonts w:cs="Arial"/>
          <w:szCs w:val="18"/>
          <w:lang w:val="en-US"/>
        </w:rPr>
        <w:t xml:space="preserve">. </w:t>
      </w:r>
      <w:r w:rsidR="00FC69FF">
        <w:rPr>
          <w:rFonts w:cs="Arial"/>
          <w:szCs w:val="18"/>
          <w:lang w:val="en-US"/>
        </w:rPr>
        <w:t>In t</w:t>
      </w:r>
      <w:r w:rsidRPr="001944F1">
        <w:rPr>
          <w:rFonts w:cs="Arial"/>
          <w:szCs w:val="18"/>
          <w:lang w:val="en-US"/>
        </w:rPr>
        <w:t xml:space="preserve">he condition with glucose shows a faster rate of </w:t>
      </w:r>
      <w:r w:rsidR="00FC69FF">
        <w:rPr>
          <w:rFonts w:cs="Arial"/>
          <w:szCs w:val="18"/>
          <w:lang w:val="en-US"/>
        </w:rPr>
        <w:t xml:space="preserve">glucose </w:t>
      </w:r>
      <w:r w:rsidRPr="001944F1">
        <w:rPr>
          <w:rFonts w:cs="Arial"/>
          <w:szCs w:val="18"/>
          <w:lang w:val="en-US"/>
        </w:rPr>
        <w:t>depletion</w:t>
      </w:r>
      <w:r w:rsidR="00FC69FF">
        <w:rPr>
          <w:rFonts w:cs="Arial"/>
          <w:szCs w:val="18"/>
          <w:lang w:val="en-US"/>
        </w:rPr>
        <w:t xml:space="preserve"> as a</w:t>
      </w:r>
      <w:r w:rsidRPr="001944F1">
        <w:rPr>
          <w:rFonts w:cs="Arial"/>
          <w:szCs w:val="18"/>
          <w:lang w:val="en-US"/>
        </w:rPr>
        <w:t xml:space="preserve"> </w:t>
      </w:r>
      <w:r w:rsidR="00FC69FF">
        <w:rPr>
          <w:rFonts w:cs="Arial"/>
          <w:szCs w:val="18"/>
          <w:lang w:val="en-US"/>
        </w:rPr>
        <w:t>substrate</w:t>
      </w:r>
      <w:r w:rsidR="00FC69FF" w:rsidRPr="001944F1">
        <w:rPr>
          <w:rFonts w:cs="Arial"/>
          <w:szCs w:val="18"/>
          <w:lang w:val="en-US"/>
        </w:rPr>
        <w:t xml:space="preserve"> </w:t>
      </w:r>
      <w:r w:rsidRPr="001944F1">
        <w:rPr>
          <w:rFonts w:cs="Arial"/>
          <w:szCs w:val="18"/>
          <w:lang w:val="en-US"/>
        </w:rPr>
        <w:t xml:space="preserve">compared to cyanide </w:t>
      </w:r>
      <w:r w:rsidR="00470A17">
        <w:rPr>
          <w:rFonts w:cs="Arial"/>
          <w:szCs w:val="18"/>
          <w:lang w:val="en-US"/>
        </w:rPr>
        <w:t>as it was all consumed in the first 20 hours</w:t>
      </w:r>
      <w:r w:rsidRPr="001944F1">
        <w:rPr>
          <w:rFonts w:cs="Arial"/>
          <w:szCs w:val="18"/>
          <w:lang w:val="en-US"/>
        </w:rPr>
        <w:t>. This suggests that glucose enhances bacterial activity, potentially providing an additional energy source that accelerates cyanide degradation (Dash et al., 2009; Akcil &amp; Mudder, 2003</w:t>
      </w:r>
      <w:r w:rsidR="00470A17">
        <w:rPr>
          <w:rFonts w:cs="Arial"/>
          <w:szCs w:val="18"/>
          <w:lang w:val="en-US"/>
        </w:rPr>
        <w:t xml:space="preserve">). </w:t>
      </w:r>
      <w:r w:rsidRPr="001944F1">
        <w:rPr>
          <w:rFonts w:cs="Arial"/>
          <w:szCs w:val="18"/>
          <w:lang w:val="en-US"/>
        </w:rPr>
        <w:t xml:space="preserve">The rapid decline in cyanide concentration suggests effective bacterial degradation across all conditions. The bacteria can metabolize cyanide, likely using it as a nitrogen source. The near-complete depletion of cyanide after 24h indicates efficient cyanide-utilizing bacterial activity. This highlights that cyanide degradation might be enhanced by supplementing with a readily </w:t>
      </w:r>
      <w:r w:rsidRPr="001944F1">
        <w:rPr>
          <w:rFonts w:cs="Arial"/>
          <w:szCs w:val="18"/>
        </w:rPr>
        <w:t>metabolised</w:t>
      </w:r>
      <w:r w:rsidRPr="001944F1">
        <w:rPr>
          <w:rFonts w:cs="Arial"/>
          <w:szCs w:val="18"/>
          <w:lang w:val="en-US"/>
        </w:rPr>
        <w:t xml:space="preserve"> substrate (Warda et al., 2016). The bacteria </w:t>
      </w:r>
      <w:r w:rsidR="00FC69FF" w:rsidRPr="00FC69FF">
        <w:rPr>
          <w:rFonts w:cs="Arial"/>
          <w:i/>
          <w:szCs w:val="18"/>
          <w:lang w:val="en-US"/>
        </w:rPr>
        <w:t>Bacillus cereus</w:t>
      </w:r>
      <w:r w:rsidR="00FC69FF">
        <w:rPr>
          <w:rFonts w:cs="Arial"/>
          <w:szCs w:val="18"/>
          <w:lang w:val="en-US"/>
        </w:rPr>
        <w:t xml:space="preserve"> can</w:t>
      </w:r>
      <w:r w:rsidRPr="001944F1">
        <w:rPr>
          <w:rFonts w:cs="Arial"/>
          <w:szCs w:val="18"/>
          <w:lang w:val="en-US"/>
        </w:rPr>
        <w:t xml:space="preserve"> tolerate cyanide concentrations</w:t>
      </w:r>
      <w:r w:rsidR="007C3CBB">
        <w:rPr>
          <w:rFonts w:cs="Arial"/>
          <w:szCs w:val="18"/>
          <w:lang w:val="en-US"/>
        </w:rPr>
        <w:t xml:space="preserve"> used in these experiments</w:t>
      </w:r>
      <w:r w:rsidRPr="001944F1">
        <w:rPr>
          <w:rFonts w:cs="Arial"/>
          <w:szCs w:val="18"/>
          <w:lang w:val="en-US"/>
        </w:rPr>
        <w:t>, as evidenced by successful degradation</w:t>
      </w:r>
      <w:r w:rsidR="00FC69FF">
        <w:rPr>
          <w:rFonts w:cs="Arial"/>
          <w:szCs w:val="18"/>
        </w:rPr>
        <w:t xml:space="preserve"> as confirmed by</w:t>
      </w:r>
      <w:r w:rsidR="00FC69FF" w:rsidRPr="00FC69FF">
        <w:t xml:space="preserve"> </w:t>
      </w:r>
      <w:r w:rsidR="00FC69FF" w:rsidRPr="00FC69FF">
        <w:rPr>
          <w:rFonts w:cs="Arial"/>
          <w:szCs w:val="18"/>
        </w:rPr>
        <w:t>Alvarado-López</w:t>
      </w:r>
      <w:r w:rsidR="00FC69FF">
        <w:rPr>
          <w:rFonts w:cs="Arial"/>
          <w:szCs w:val="18"/>
        </w:rPr>
        <w:t xml:space="preserve"> et al., 2023. </w:t>
      </w:r>
      <w:r w:rsidRPr="001944F1">
        <w:rPr>
          <w:rFonts w:cs="Arial"/>
          <w:szCs w:val="18"/>
          <w:lang w:val="en-US"/>
        </w:rPr>
        <w:t xml:space="preserve">This is relevant for bioleaching applications where free cyanide can be found </w:t>
      </w:r>
      <w:r w:rsidR="00470A17">
        <w:rPr>
          <w:rFonts w:cs="Arial"/>
          <w:szCs w:val="18"/>
          <w:lang w:val="en-US"/>
        </w:rPr>
        <w:t>within the</w:t>
      </w:r>
      <w:r w:rsidR="00CD3CE5">
        <w:rPr>
          <w:rFonts w:cs="Arial"/>
          <w:szCs w:val="18"/>
          <w:lang w:val="en-US"/>
        </w:rPr>
        <w:t xml:space="preserve"> gold sulphide</w:t>
      </w:r>
      <w:r w:rsidR="00470A17">
        <w:rPr>
          <w:rFonts w:cs="Arial"/>
          <w:szCs w:val="18"/>
          <w:lang w:val="en-US"/>
        </w:rPr>
        <w:t xml:space="preserve"> tailings</w:t>
      </w:r>
      <w:r w:rsidRPr="001944F1">
        <w:rPr>
          <w:rFonts w:cs="Arial"/>
          <w:szCs w:val="18"/>
          <w:lang w:val="en-US"/>
        </w:rPr>
        <w:t xml:space="preserve">. </w:t>
      </w:r>
    </w:p>
    <w:p w14:paraId="5F0901AA" w14:textId="77777777" w:rsidR="00470A17" w:rsidRPr="001944F1" w:rsidRDefault="00470A17" w:rsidP="001944F1">
      <w:pPr>
        <w:spacing w:line="276" w:lineRule="auto"/>
        <w:rPr>
          <w:rFonts w:cs="Arial"/>
          <w:szCs w:val="18"/>
          <w:lang w:val="en-US"/>
        </w:rPr>
      </w:pPr>
    </w:p>
    <w:p w14:paraId="70C53776" w14:textId="77777777" w:rsidR="001944F1" w:rsidRPr="001944F1" w:rsidRDefault="001944F1" w:rsidP="001944F1">
      <w:pPr>
        <w:numPr>
          <w:ilvl w:val="1"/>
          <w:numId w:val="1"/>
        </w:numPr>
        <w:tabs>
          <w:tab w:val="num" w:pos="360"/>
        </w:tabs>
        <w:spacing w:line="276" w:lineRule="auto"/>
        <w:rPr>
          <w:rFonts w:cs="Arial"/>
          <w:b/>
          <w:szCs w:val="18"/>
          <w:lang w:val="en-US"/>
        </w:rPr>
      </w:pPr>
      <w:r w:rsidRPr="001944F1">
        <w:rPr>
          <w:rFonts w:cs="Arial"/>
          <w:b/>
          <w:szCs w:val="18"/>
          <w:lang w:val="en-US"/>
        </w:rPr>
        <w:t>Conclusion</w:t>
      </w:r>
    </w:p>
    <w:p w14:paraId="58ED9B88" w14:textId="3B075FEB" w:rsidR="001944F1" w:rsidRPr="001944F1" w:rsidRDefault="001944F1" w:rsidP="001944F1">
      <w:pPr>
        <w:spacing w:line="276" w:lineRule="auto"/>
        <w:rPr>
          <w:rFonts w:cs="Arial"/>
          <w:szCs w:val="18"/>
        </w:rPr>
      </w:pPr>
      <w:r w:rsidRPr="001944F1">
        <w:rPr>
          <w:rFonts w:cs="Arial"/>
          <w:szCs w:val="18"/>
        </w:rPr>
        <w:t xml:space="preserve">The finding of this study is that </w:t>
      </w:r>
      <w:r w:rsidRPr="001944F1">
        <w:rPr>
          <w:rFonts w:cs="Arial"/>
          <w:i/>
          <w:szCs w:val="18"/>
        </w:rPr>
        <w:t>Bacillus cereus</w:t>
      </w:r>
      <w:r w:rsidRPr="001944F1">
        <w:rPr>
          <w:rFonts w:cs="Arial"/>
          <w:szCs w:val="18"/>
        </w:rPr>
        <w:t xml:space="preserve"> can thrive in cyanide conditions </w:t>
      </w:r>
      <w:r w:rsidR="00EA1D73">
        <w:rPr>
          <w:rFonts w:cs="Arial"/>
          <w:szCs w:val="18"/>
        </w:rPr>
        <w:t>of</w:t>
      </w:r>
      <w:r w:rsidRPr="001944F1">
        <w:rPr>
          <w:rFonts w:cs="Arial"/>
          <w:szCs w:val="18"/>
        </w:rPr>
        <w:t xml:space="preserve"> 5mmol/L and the fluctuations in ORP show a strong likelihood of successful degradation of cyanide by </w:t>
      </w:r>
      <w:r w:rsidRPr="001944F1">
        <w:rPr>
          <w:rFonts w:cs="Arial"/>
          <w:i/>
          <w:szCs w:val="18"/>
        </w:rPr>
        <w:t>B. Cereus</w:t>
      </w:r>
      <w:r w:rsidRPr="001944F1">
        <w:rPr>
          <w:rFonts w:cs="Arial"/>
          <w:szCs w:val="18"/>
        </w:rPr>
        <w:t xml:space="preserve"> within the first 24 hours. It is important to analyse the residual metabolic by-products after cyanide depletion (e.g., ammonia, thiocyanate) to fully ascertain the level of degradation. Anaerobic conditions can also be explored to assess the performance of </w:t>
      </w:r>
      <w:r w:rsidRPr="001944F1">
        <w:rPr>
          <w:rFonts w:cs="Arial"/>
          <w:i/>
          <w:szCs w:val="18"/>
        </w:rPr>
        <w:t xml:space="preserve">B.Cereus </w:t>
      </w:r>
      <w:r w:rsidRPr="001944F1">
        <w:rPr>
          <w:rFonts w:cs="Arial"/>
          <w:szCs w:val="18"/>
        </w:rPr>
        <w:t xml:space="preserve">under such conditions. </w:t>
      </w:r>
    </w:p>
    <w:p w14:paraId="15E5C758" w14:textId="77777777" w:rsidR="00FD006A" w:rsidRDefault="00FD006A" w:rsidP="00FD006A">
      <w:pPr>
        <w:spacing w:line="276" w:lineRule="auto"/>
        <w:rPr>
          <w:rFonts w:cs="Arial"/>
          <w:b/>
          <w:szCs w:val="18"/>
          <w:lang w:val="en-US"/>
        </w:rPr>
      </w:pPr>
    </w:p>
    <w:p w14:paraId="0FE28B6C" w14:textId="77777777" w:rsidR="00C27A63" w:rsidRDefault="00FD006A" w:rsidP="00C27A63">
      <w:pPr>
        <w:spacing w:line="240" w:lineRule="auto"/>
        <w:rPr>
          <w:rFonts w:cs="Arial"/>
          <w:b/>
          <w:szCs w:val="18"/>
          <w:lang w:val="en-US"/>
        </w:rPr>
      </w:pPr>
      <w:r w:rsidRPr="00FD006A">
        <w:rPr>
          <w:rFonts w:cs="Arial"/>
          <w:b/>
          <w:szCs w:val="18"/>
          <w:lang w:val="en-US"/>
        </w:rPr>
        <w:t>References</w:t>
      </w:r>
    </w:p>
    <w:p w14:paraId="35F1154B" w14:textId="010B6C21" w:rsidR="00FD006A" w:rsidRPr="00C27A63" w:rsidRDefault="00FD006A" w:rsidP="00C27A63">
      <w:pPr>
        <w:spacing w:line="240" w:lineRule="auto"/>
        <w:rPr>
          <w:rFonts w:cs="Arial"/>
          <w:b/>
          <w:szCs w:val="18"/>
          <w:lang w:val="en-US"/>
        </w:rPr>
      </w:pPr>
      <w:r w:rsidRPr="00FD006A">
        <w:t xml:space="preserve">Akcil, A. (2003). Destruction of cyanide in gold mill effluents: Biological versus chemical treatments. Biotechnology Advances, 21(6), 501–511. DOI: </w:t>
      </w:r>
      <w:r>
        <w:t xml:space="preserve">10.1016/S0734-9750(03)00091-4. </w:t>
      </w:r>
    </w:p>
    <w:p w14:paraId="7CCAB516" w14:textId="591908DA" w:rsidR="00FD006A" w:rsidRDefault="00FD006A" w:rsidP="004F3916">
      <w:pPr>
        <w:pStyle w:val="CETReference"/>
        <w:spacing w:before="80" w:after="0"/>
        <w:jc w:val="both"/>
        <w:rPr>
          <w:b w:val="0"/>
        </w:rPr>
      </w:pPr>
      <w:r w:rsidRPr="00FD006A">
        <w:rPr>
          <w:b w:val="0"/>
        </w:rPr>
        <w:t>Akcil, A., &amp; Mudder, T. (2003). Microbial destruction of cyanide wastes in gold mining: Process review. Biotechnology Letters, 25(6), 445–450. DOI: 10.1023/A:</w:t>
      </w:r>
      <w:r w:rsidR="00350A75">
        <w:rPr>
          <w:b w:val="0"/>
        </w:rPr>
        <w:t xml:space="preserve"> </w:t>
      </w:r>
      <w:r w:rsidRPr="00FD006A">
        <w:rPr>
          <w:b w:val="0"/>
        </w:rPr>
        <w:t xml:space="preserve">1022850705647. </w:t>
      </w:r>
    </w:p>
    <w:p w14:paraId="013F3F9A" w14:textId="02243EEF" w:rsidR="00FC69FF" w:rsidRPr="00FD006A" w:rsidRDefault="00FC69FF" w:rsidP="004F3916">
      <w:pPr>
        <w:pStyle w:val="CETReference"/>
        <w:spacing w:before="80" w:after="0"/>
        <w:jc w:val="both"/>
        <w:rPr>
          <w:b w:val="0"/>
        </w:rPr>
      </w:pPr>
      <w:r w:rsidRPr="00FC69FF">
        <w:rPr>
          <w:b w:val="0"/>
        </w:rPr>
        <w:t>Alvarado-López, M. J., Garrido-Hoyos, S. E., Raynal-Gutiérrez, M. E., El-Kassis, E. G., Luque-Almagro, V. M., &amp; Rosano-Ortega, G. (2023). Cyanide Biodegradation by a Native Bacterial Consortium and Its Potential for Goldmine Tailing Biotreatment. Water, 15(8), 1595. https://doi.org/10.3390/w15081595</w:t>
      </w:r>
      <w:r>
        <w:rPr>
          <w:b w:val="0"/>
        </w:rPr>
        <w:t>.</w:t>
      </w:r>
    </w:p>
    <w:p w14:paraId="0791FAD7" w14:textId="77777777" w:rsidR="00FD006A" w:rsidRPr="00FD006A" w:rsidRDefault="00FD006A" w:rsidP="004F3916">
      <w:pPr>
        <w:pStyle w:val="CETReference"/>
        <w:spacing w:before="80" w:after="0"/>
        <w:jc w:val="both"/>
        <w:rPr>
          <w:b w:val="0"/>
        </w:rPr>
      </w:pPr>
      <w:r w:rsidRPr="00FD006A">
        <w:rPr>
          <w:b w:val="0"/>
        </w:rPr>
        <w:t>Bazhko, V, and Yahorava, V (2017), "Evaluation of ozonation technology for gold recovery and cyanide management during processing of a double refractory gold ore" Journal of the Southern African Institute of Mining and Metallurgy, 117(8), 749-756.</w:t>
      </w:r>
    </w:p>
    <w:p w14:paraId="0650C8AD" w14:textId="77777777" w:rsidR="00FD006A" w:rsidRDefault="00FD006A" w:rsidP="004F3916">
      <w:pPr>
        <w:pStyle w:val="CETReference"/>
        <w:spacing w:before="80" w:after="0"/>
        <w:jc w:val="both"/>
        <w:rPr>
          <w:b w:val="0"/>
        </w:rPr>
      </w:pPr>
      <w:r w:rsidRPr="00FD006A">
        <w:rPr>
          <w:b w:val="0"/>
        </w:rPr>
        <w:t xml:space="preserve">Bottone, E. (2010). Bacillus cereus, a volatile human pathogen. Clin. Microbiol. Rev. , 23, 382–398. </w:t>
      </w:r>
    </w:p>
    <w:p w14:paraId="17165816" w14:textId="3E1E0CA2" w:rsidR="000562CD" w:rsidRPr="00FD006A" w:rsidRDefault="000562CD" w:rsidP="004F3916">
      <w:pPr>
        <w:pStyle w:val="CETReference"/>
        <w:spacing w:before="80" w:after="0"/>
        <w:jc w:val="both"/>
        <w:rPr>
          <w:b w:val="0"/>
        </w:rPr>
      </w:pPr>
      <w:r w:rsidRPr="000562CD">
        <w:rPr>
          <w:b w:val="0"/>
        </w:rPr>
        <w:t>Brune, K</w:t>
      </w:r>
      <w:r>
        <w:rPr>
          <w:b w:val="0"/>
        </w:rPr>
        <w:t>.,</w:t>
      </w:r>
      <w:r w:rsidRPr="000562CD">
        <w:rPr>
          <w:b w:val="0"/>
        </w:rPr>
        <w:t xml:space="preserve"> Bayer</w:t>
      </w:r>
      <w:r>
        <w:rPr>
          <w:b w:val="0"/>
        </w:rPr>
        <w:t xml:space="preserve"> T</w:t>
      </w:r>
      <w:r w:rsidRPr="000562CD">
        <w:rPr>
          <w:b w:val="0"/>
        </w:rPr>
        <w:t>. (2012). Engineering microbial consortia to enhance biomining and bioremediation. Frontiers in Microbiology. 3. 203. 10.3389/fmicb.2012.00203.</w:t>
      </w:r>
    </w:p>
    <w:p w14:paraId="642F3BA9" w14:textId="77777777" w:rsidR="00FD006A" w:rsidRPr="00FD006A" w:rsidRDefault="00FD006A" w:rsidP="004F3916">
      <w:pPr>
        <w:pStyle w:val="CETReference"/>
        <w:spacing w:before="80" w:after="0"/>
        <w:jc w:val="both"/>
        <w:rPr>
          <w:b w:val="0"/>
        </w:rPr>
      </w:pPr>
      <w:r w:rsidRPr="00FD006A">
        <w:rPr>
          <w:b w:val="0"/>
        </w:rPr>
        <w:t>Cáceda Quiroz, C. J., Fora Quispe, G. d. L., Carpio Mamani, M., Maraza Choque, G. J., &amp; Sacari Sacari, E. J. (2023). Cyanide Bioremediation by Bacillus subtilis under Alkaline Conditions. Water, 15(20), 3645. https://doi.org/10.3390/w15203645.</w:t>
      </w:r>
    </w:p>
    <w:p w14:paraId="03109FAF" w14:textId="77777777" w:rsidR="00FD006A" w:rsidRPr="00FD006A" w:rsidRDefault="00FD006A" w:rsidP="004F3916">
      <w:pPr>
        <w:pStyle w:val="CETReference"/>
        <w:spacing w:before="80" w:after="0"/>
        <w:jc w:val="both"/>
        <w:rPr>
          <w:b w:val="0"/>
        </w:rPr>
      </w:pPr>
      <w:r w:rsidRPr="00FD006A">
        <w:rPr>
          <w:b w:val="0"/>
        </w:rPr>
        <w:t xml:space="preserve">Clavel, T.; Carlin, F.; Lairon, D.; Nguyen-The, C.; Schmitt, P. (2004). Survival of Bacillus cereus spores and vegetative cells in acid media simulating human stomach. J. Appl. Microbiol. , 97, 214–219. </w:t>
      </w:r>
    </w:p>
    <w:p w14:paraId="2FCAB585" w14:textId="77777777" w:rsidR="00FD006A" w:rsidRPr="00FD006A" w:rsidRDefault="00FD006A" w:rsidP="004F3916">
      <w:pPr>
        <w:pStyle w:val="CETReference"/>
        <w:spacing w:before="80" w:after="0"/>
        <w:jc w:val="both"/>
        <w:rPr>
          <w:b w:val="0"/>
        </w:rPr>
      </w:pPr>
      <w:r w:rsidRPr="00FD006A">
        <w:rPr>
          <w:b w:val="0"/>
        </w:rPr>
        <w:t>Dash, R. R., Gaur, A., &amp; Balomajumder, C. (2009). Cyanide in industrial wastewaters and its removal: A review on biotreatment. Journal of Hazardous Materials, 163(1), 1–11. DOI: 10.1016/j.jhazmat.2008.06.051.</w:t>
      </w:r>
    </w:p>
    <w:p w14:paraId="0EA28AF6" w14:textId="77777777" w:rsidR="00FD006A" w:rsidRDefault="00FD006A" w:rsidP="004F3916">
      <w:pPr>
        <w:pStyle w:val="CETReference"/>
        <w:spacing w:before="80" w:after="0"/>
        <w:jc w:val="both"/>
        <w:rPr>
          <w:b w:val="0"/>
        </w:rPr>
      </w:pPr>
      <w:r w:rsidRPr="00FD006A">
        <w:rPr>
          <w:b w:val="0"/>
        </w:rPr>
        <w:t>Dubey, S.K., Dubey, J., Mehra, S., Tiwari, P.K., &amp; Bishwas, A.J. (2011). Full Length Research Paper Isolation of protease producing novel Bacillus cereus and detection of optimal conditions. African Journal of Biotechnology, 10, 1160-1164.</w:t>
      </w:r>
    </w:p>
    <w:p w14:paraId="064698A3" w14:textId="54CC9278" w:rsidR="00FC69FF" w:rsidRPr="00FD006A" w:rsidRDefault="00FC69FF" w:rsidP="004F3916">
      <w:pPr>
        <w:pStyle w:val="CETReference"/>
        <w:spacing w:before="80" w:after="0"/>
        <w:jc w:val="both"/>
        <w:rPr>
          <w:b w:val="0"/>
        </w:rPr>
      </w:pPr>
      <w:r w:rsidRPr="00FC69FF">
        <w:rPr>
          <w:b w:val="0"/>
        </w:rPr>
        <w:t>Ebbs S. Biological degradation of cyanide compounds. Curr Opin Biotechnol. 2004 Jun;15(3):231-6. doi: 10.1016/j.copbio.2004.03.006. PMID: 15193331.</w:t>
      </w:r>
    </w:p>
    <w:p w14:paraId="49992AF4" w14:textId="46DD4AF5" w:rsidR="00FD006A" w:rsidRPr="00D065A7" w:rsidRDefault="00FD006A" w:rsidP="004F3916">
      <w:pPr>
        <w:pStyle w:val="CETReference"/>
        <w:spacing w:before="80" w:after="0"/>
        <w:jc w:val="both"/>
        <w:rPr>
          <w:b w:val="0"/>
        </w:rPr>
      </w:pPr>
      <w:r w:rsidRPr="00FD006A">
        <w:rPr>
          <w:b w:val="0"/>
        </w:rPr>
        <w:t xml:space="preserve">Jiang, S., Chen, Y., Chen, S., &amp; Hu, Z. (2023). Removal and Reclamation of Trace Metals from Copper and Gold Mine Tailing Leachates Using an Alkali Suspension Method. </w:t>
      </w:r>
      <w:r w:rsidRPr="00D065A7">
        <w:rPr>
          <w:b w:val="0"/>
        </w:rPr>
        <w:t xml:space="preserve">Water (Switzerland), 15(10). </w:t>
      </w:r>
    </w:p>
    <w:p w14:paraId="11B92A75" w14:textId="7EB52A55" w:rsidR="002D10AE" w:rsidRPr="002D10AE" w:rsidRDefault="002D10AE" w:rsidP="004F3916">
      <w:pPr>
        <w:pStyle w:val="CETReference"/>
        <w:spacing w:before="80" w:after="0"/>
        <w:jc w:val="both"/>
        <w:rPr>
          <w:b w:val="0"/>
        </w:rPr>
      </w:pPr>
      <w:r w:rsidRPr="002D10AE">
        <w:rPr>
          <w:b w:val="0"/>
        </w:rPr>
        <w:t>Huertas, M. J., Luque-Almagro, V. M., Martínez-Luque, M., Blasco, R., Moreno-Vivián, C., Castillo, F., &amp; Roldán, M. D. (2006). Cyanide metabolism of Pseudomonas pseudoalcaligenes CECT5344: Role of siderophores. Biochemical Society Transactions, 34(1), 152–155. https://doi.org/10.1042/BST0340152</w:t>
      </w:r>
    </w:p>
    <w:p w14:paraId="04CDBF77" w14:textId="691A7804" w:rsidR="00FD006A" w:rsidRDefault="00FD006A" w:rsidP="004F3916">
      <w:pPr>
        <w:pStyle w:val="CETReference"/>
        <w:spacing w:before="80" w:after="0"/>
        <w:jc w:val="both"/>
        <w:rPr>
          <w:b w:val="0"/>
        </w:rPr>
      </w:pPr>
      <w:r w:rsidRPr="00FD006A">
        <w:rPr>
          <w:b w:val="0"/>
        </w:rPr>
        <w:t xml:space="preserve">Kuyucak N, Akcil A (2013) Cyanide and removal options from effluents in gold mining and metallurgical processes. Miner Eng 50:13–29. </w:t>
      </w:r>
      <w:hyperlink r:id="rId15" w:history="1">
        <w:r w:rsidR="000562CD" w:rsidRPr="00B85981">
          <w:rPr>
            <w:rStyle w:val="Hyperlink"/>
            <w:b w:val="0"/>
          </w:rPr>
          <w:t>https://doi.org/10.1016/j.mineng.2013.05.027</w:t>
        </w:r>
      </w:hyperlink>
      <w:r w:rsidRPr="00FD006A">
        <w:rPr>
          <w:b w:val="0"/>
        </w:rPr>
        <w:t>.</w:t>
      </w:r>
    </w:p>
    <w:p w14:paraId="4C147088" w14:textId="329163A2" w:rsidR="000562CD" w:rsidRDefault="000562CD" w:rsidP="004F3916">
      <w:pPr>
        <w:pStyle w:val="CETReference"/>
        <w:spacing w:before="80" w:after="0"/>
        <w:jc w:val="both"/>
        <w:rPr>
          <w:b w:val="0"/>
        </w:rPr>
      </w:pPr>
      <w:r w:rsidRPr="000562CD">
        <w:rPr>
          <w:b w:val="0"/>
        </w:rPr>
        <w:t xml:space="preserve">Lachowicz JI, Alexander J, Aaseth JO. Cyanide and Cyanogenic Compounds-Toxicity, Molecular Targets, and Therapeutic Agents. Biomolecules. 2024 Nov 7;14(11):1420. </w:t>
      </w:r>
    </w:p>
    <w:p w14:paraId="56F41C23" w14:textId="7EB08915" w:rsidR="00571680" w:rsidRDefault="00571680" w:rsidP="004F3916">
      <w:pPr>
        <w:pStyle w:val="CETReference"/>
        <w:spacing w:before="80" w:after="0"/>
        <w:jc w:val="both"/>
        <w:rPr>
          <w:b w:val="0"/>
        </w:rPr>
      </w:pPr>
      <w:r w:rsidRPr="00571680">
        <w:rPr>
          <w:b w:val="0"/>
        </w:rPr>
        <w:t>Mangwan</w:t>
      </w:r>
      <w:r w:rsidR="007F0A21">
        <w:rPr>
          <w:b w:val="0"/>
        </w:rPr>
        <w:t>di, T., Tendenedzai, J., Chirwa, E. &amp; Brink, H</w:t>
      </w:r>
      <w:r w:rsidRPr="00571680">
        <w:rPr>
          <w:b w:val="0"/>
        </w:rPr>
        <w:t>. (2022). Optimisation of Selenite Reduction using Enterococcus spp. under Anaerobic Conditions. Chemical Engineering Transactions. 92. 139-144. 10.3303/CET2292024.</w:t>
      </w:r>
    </w:p>
    <w:p w14:paraId="7F7F4CFE" w14:textId="24C9BA2B" w:rsidR="000562CD" w:rsidRPr="00FD006A" w:rsidRDefault="000562CD" w:rsidP="004F3916">
      <w:pPr>
        <w:pStyle w:val="CETReference"/>
        <w:spacing w:before="80" w:after="0"/>
        <w:jc w:val="both"/>
        <w:rPr>
          <w:b w:val="0"/>
        </w:rPr>
      </w:pPr>
      <w:r w:rsidRPr="000562CD">
        <w:rPr>
          <w:b w:val="0"/>
        </w:rPr>
        <w:t>Mutimutema, P., Akdogan, G., and Tadie, M. 2022 Evaluation of pre-treatment methods for gold recovery from refractory calcine tailings. Journal of the Southern African Institute of Mining and Metallurgy</w:t>
      </w:r>
      <w:r>
        <w:rPr>
          <w:b w:val="0"/>
        </w:rPr>
        <w:t xml:space="preserve">, vol. 122, no. 10, pp. 561–570. </w:t>
      </w:r>
      <w:r w:rsidRPr="000562CD">
        <w:rPr>
          <w:b w:val="0"/>
        </w:rPr>
        <w:t>http://dx.doi.org/10.17159/2411- 9717/2070/2022</w:t>
      </w:r>
      <w:r>
        <w:rPr>
          <w:b w:val="0"/>
        </w:rPr>
        <w:t xml:space="preserve">. </w:t>
      </w:r>
    </w:p>
    <w:p w14:paraId="6436DB12" w14:textId="77777777" w:rsidR="00FD006A" w:rsidRPr="00FD006A" w:rsidRDefault="00FD006A" w:rsidP="004F3916">
      <w:pPr>
        <w:pStyle w:val="CETReference"/>
        <w:spacing w:before="80" w:after="0"/>
        <w:jc w:val="both"/>
        <w:rPr>
          <w:b w:val="0"/>
        </w:rPr>
      </w:pPr>
      <w:r w:rsidRPr="00FD006A">
        <w:rPr>
          <w:b w:val="0"/>
        </w:rPr>
        <w:t>Pineda, Y. S., Devries, S. L., Steiner, N. C., &amp; Block-Cora, K. A. (2023). Bioleaching of Gold in Mine Tailings by Alcaligenes faecalis. Minerals, 13(3), 1–13. https://doi.org/10.3390/min13030410</w:t>
      </w:r>
    </w:p>
    <w:p w14:paraId="277F2D23" w14:textId="77777777" w:rsidR="00FD006A" w:rsidRPr="00FD006A" w:rsidRDefault="00FD006A" w:rsidP="004F3916">
      <w:pPr>
        <w:pStyle w:val="CETReference"/>
        <w:spacing w:before="80" w:after="0"/>
        <w:jc w:val="both"/>
        <w:rPr>
          <w:b w:val="0"/>
        </w:rPr>
      </w:pPr>
      <w:r w:rsidRPr="00FD006A">
        <w:rPr>
          <w:b w:val="0"/>
        </w:rPr>
        <w:t>Rodrigo, D., Rosell, C. M., &amp; Martinez, A. (2021). Risk of Bacillus cereus in Relation to Rice and Derivatives. Foods, 10(2), 302. https://doi.org/10.3390/foods10020302</w:t>
      </w:r>
    </w:p>
    <w:p w14:paraId="54F36B42" w14:textId="77777777" w:rsidR="00FD006A" w:rsidRPr="00FD006A" w:rsidRDefault="00FD006A" w:rsidP="004F3916">
      <w:pPr>
        <w:pStyle w:val="CETReference"/>
        <w:spacing w:before="80" w:after="0"/>
        <w:jc w:val="both"/>
        <w:rPr>
          <w:b w:val="0"/>
        </w:rPr>
      </w:pPr>
      <w:r w:rsidRPr="00FD006A">
        <w:rPr>
          <w:b w:val="0"/>
        </w:rPr>
        <w:t>Ruiz-Bermejo, M., de la Fuente, J. L., Pérez-Fernández, C., &amp; Mateo-Martí, E. (2021). A Comprehensive Review of HCN-Derived Polymers. Processes, 9(4), 597. https://doi.org/10.3390/pr9040597</w:t>
      </w:r>
    </w:p>
    <w:p w14:paraId="1966B120" w14:textId="0EA81466" w:rsidR="00FD006A" w:rsidRPr="00FC69FF" w:rsidRDefault="00FD006A" w:rsidP="00571E17">
      <w:pPr>
        <w:pStyle w:val="CETReference"/>
        <w:spacing w:before="80" w:after="0"/>
        <w:jc w:val="both"/>
        <w:rPr>
          <w:b w:val="0"/>
        </w:rPr>
      </w:pPr>
      <w:r w:rsidRPr="00FD006A">
        <w:rPr>
          <w:b w:val="0"/>
        </w:rPr>
        <w:t xml:space="preserve">Sadeghi, P., Diaz, A., Vila, M. C., Fiúza, A., &amp; Nunes, O. (2021). Appraisal of the Laboratory-Scale Tests for Bioleaching of Low-Grade Heavy Metal-(oid) s Resources. Water, Air, and Soil Pollution, 232(7). </w:t>
      </w:r>
    </w:p>
    <w:p w14:paraId="596616A0" w14:textId="77777777" w:rsidR="004F3916" w:rsidRDefault="00FD006A" w:rsidP="00571E17">
      <w:pPr>
        <w:pStyle w:val="CETReference"/>
        <w:spacing w:before="80" w:after="0"/>
        <w:jc w:val="both"/>
        <w:rPr>
          <w:b w:val="0"/>
        </w:rPr>
      </w:pPr>
      <w:r w:rsidRPr="00FD006A">
        <w:rPr>
          <w:b w:val="0"/>
        </w:rPr>
        <w:t>Saldaña, M, Jeldres, M, Galleguillos Madrid, FM, Gallegos, S, Salazar, I, Robles, P, and Toro, N (2023), "Bioleaching Modeling-A Rev</w:t>
      </w:r>
      <w:r w:rsidR="004F3916">
        <w:rPr>
          <w:b w:val="0"/>
        </w:rPr>
        <w:t xml:space="preserve">iew" Materials (Basel), 16(10). </w:t>
      </w:r>
    </w:p>
    <w:p w14:paraId="5AA51257" w14:textId="3C7ECEAB" w:rsidR="00FD006A" w:rsidRDefault="00FD006A" w:rsidP="00571E17">
      <w:pPr>
        <w:pStyle w:val="CETReference"/>
        <w:spacing w:before="80" w:after="0"/>
        <w:jc w:val="both"/>
        <w:rPr>
          <w:b w:val="0"/>
        </w:rPr>
      </w:pPr>
      <w:r w:rsidRPr="00FD006A">
        <w:rPr>
          <w:b w:val="0"/>
        </w:rPr>
        <w:t>Soto-Uribe, JC, Valenzuela-Garcia, JL, Salazar-Campoy, MM, Parga-Torres, JR, Tiburcio-Munive, G, Encinas-Romero, MA, and Vazquez-Vazquez, VM (2023), "Gold Extraction from a Refractory Sulfide Concentrate by Simultaneous Pressure Leaching/Oxidation" Minerals, 13(1), 116.</w:t>
      </w:r>
    </w:p>
    <w:p w14:paraId="6C0D71E0" w14:textId="77777777" w:rsidR="00FA04A8" w:rsidRDefault="00FD006A" w:rsidP="00571E17">
      <w:pPr>
        <w:pStyle w:val="CETReference"/>
        <w:spacing w:before="80" w:after="0"/>
        <w:jc w:val="both"/>
        <w:rPr>
          <w:b w:val="0"/>
        </w:rPr>
      </w:pPr>
      <w:r w:rsidRPr="00FD006A">
        <w:rPr>
          <w:b w:val="0"/>
        </w:rPr>
        <w:t xml:space="preserve">Tendenedzai, J. T., Chirwa, E. M. N., &amp; Brink, H. G. (2021). Performance evaluation of selenite (Seo32−) reduction by enterococcus spp. Catalysts, 11(9). </w:t>
      </w:r>
      <w:hyperlink r:id="rId16" w:history="1">
        <w:r w:rsidR="00571E17" w:rsidRPr="00FC69FF">
          <w:rPr>
            <w:b w:val="0"/>
          </w:rPr>
          <w:t>https://doi.org/10.3390/catal11091024</w:t>
        </w:r>
      </w:hyperlink>
      <w:r w:rsidRPr="00FC69FF">
        <w:rPr>
          <w:b w:val="0"/>
        </w:rPr>
        <w:t>.</w:t>
      </w:r>
      <w:r w:rsidRPr="00FD006A">
        <w:rPr>
          <w:b w:val="0"/>
        </w:rPr>
        <w:t xml:space="preserve"> </w:t>
      </w:r>
    </w:p>
    <w:p w14:paraId="1B5007E0" w14:textId="053107DA" w:rsidR="007F0A21" w:rsidRDefault="007F0A21" w:rsidP="00571E17">
      <w:pPr>
        <w:pStyle w:val="CETReference"/>
        <w:spacing w:before="80" w:after="0"/>
        <w:jc w:val="both"/>
        <w:rPr>
          <w:b w:val="0"/>
        </w:rPr>
      </w:pPr>
      <w:r w:rsidRPr="007F0A21">
        <w:rPr>
          <w:b w:val="0"/>
        </w:rPr>
        <w:t xml:space="preserve">Ubaldini, S., Veglió, F., Toro, L., &amp; Abbruzzese, C. (1997). Biooxidation of arsenopyrite to improve gold cyanidation: Study of some parameters and comparison with grinding. International Journal of Mineral Processing, 52(1), 65–80. </w:t>
      </w:r>
      <w:hyperlink r:id="rId17" w:history="1">
        <w:r w:rsidRPr="001611DD">
          <w:rPr>
            <w:rStyle w:val="Hyperlink"/>
            <w:b w:val="0"/>
          </w:rPr>
          <w:t>https://doi.org/10.1016/s0301-7516(97)00041-0</w:t>
        </w:r>
      </w:hyperlink>
    </w:p>
    <w:p w14:paraId="534E880B" w14:textId="764BACCD" w:rsidR="00283BCB" w:rsidRDefault="00AF231F" w:rsidP="00283BCB">
      <w:pPr>
        <w:pStyle w:val="CETReference"/>
        <w:spacing w:before="80"/>
        <w:rPr>
          <w:b w:val="0"/>
        </w:rPr>
      </w:pPr>
      <w:r w:rsidRPr="00AF231F">
        <w:rPr>
          <w:b w:val="0"/>
        </w:rPr>
        <w:t>Wang, X.; Wu, Y.; Chen, N.;Piao, H.; Sun, D.; Ratnaweera, H.;Maletskyi, Z.; Bi, X. Characterizationo</w:t>
      </w:r>
      <w:r>
        <w:rPr>
          <w:b w:val="0"/>
        </w:rPr>
        <w:t xml:space="preserve">f Oxidation-Reduction Potential </w:t>
      </w:r>
      <w:r w:rsidRPr="00AF231F">
        <w:rPr>
          <w:b w:val="0"/>
        </w:rPr>
        <w:t>Vari</w:t>
      </w:r>
      <w:r>
        <w:rPr>
          <w:b w:val="0"/>
        </w:rPr>
        <w:t xml:space="preserve">ations in Biological Wastewater </w:t>
      </w:r>
      <w:r w:rsidRPr="00AF231F">
        <w:rPr>
          <w:b w:val="0"/>
        </w:rPr>
        <w:t>Tr</w:t>
      </w:r>
      <w:r>
        <w:rPr>
          <w:b w:val="0"/>
        </w:rPr>
        <w:t xml:space="preserve">eatment Processes: A Study from </w:t>
      </w:r>
      <w:r w:rsidRPr="00AF231F">
        <w:rPr>
          <w:b w:val="0"/>
        </w:rPr>
        <w:t>Mech</w:t>
      </w:r>
      <w:r>
        <w:rPr>
          <w:b w:val="0"/>
        </w:rPr>
        <w:t xml:space="preserve">anism to Application. Processes </w:t>
      </w:r>
      <w:r w:rsidRPr="00AF231F">
        <w:rPr>
          <w:b w:val="0"/>
        </w:rPr>
        <w:t>2</w:t>
      </w:r>
      <w:r>
        <w:rPr>
          <w:b w:val="0"/>
        </w:rPr>
        <w:t xml:space="preserve">022, 10, 2607. </w:t>
      </w:r>
      <w:hyperlink r:id="rId18" w:history="1">
        <w:r w:rsidR="00283BCB" w:rsidRPr="001611DD">
          <w:rPr>
            <w:rStyle w:val="Hyperlink"/>
            <w:b w:val="0"/>
          </w:rPr>
          <w:t>https://doi.org/10.3390/pr10122607</w:t>
        </w:r>
      </w:hyperlink>
    </w:p>
    <w:p w14:paraId="45166953" w14:textId="06C5F5B3" w:rsidR="00FD006A" w:rsidRPr="00FD006A" w:rsidRDefault="00FD006A" w:rsidP="00283BCB">
      <w:pPr>
        <w:pStyle w:val="CETReference"/>
        <w:spacing w:before="80"/>
        <w:rPr>
          <w:b w:val="0"/>
        </w:rPr>
      </w:pPr>
      <w:r w:rsidRPr="00FD006A">
        <w:rPr>
          <w:b w:val="0"/>
        </w:rPr>
        <w:t>Warda AK, Siezen RJ, Boekhorst J, Wells-Bennik MH, de Jong A, Kuipers OP, Nierop Groot MN, Abee T. Linking Bacillus cereus Genotypes and Carbohydrate Utilization Capacity. PLoS One. 2016 Jun 7;11(6):e0156796. doi: 10.1371/journal.pone.0156796. PMID: 27272929; PMCID: PMC4896439.</w:t>
      </w:r>
    </w:p>
    <w:sectPr w:rsidR="00FD006A" w:rsidRPr="00FD006A" w:rsidSect="007D7AE7">
      <w:type w:val="continuous"/>
      <w:pgSz w:w="11906" w:h="16838" w:code="9"/>
      <w:pgMar w:top="1701" w:right="1418" w:bottom="1134" w:left="1701" w:header="1701" w:footer="0" w:gutter="0"/>
      <w:cols w:space="708"/>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31CE9" w16cid:durableId="2B215C15"/>
  <w16cid:commentId w16cid:paraId="7F190A08" w16cid:durableId="2B213100"/>
  <w16cid:commentId w16cid:paraId="0F5AC18F" w16cid:durableId="2B262845"/>
  <w16cid:commentId w16cid:paraId="78C88575" w16cid:durableId="2B2628DF"/>
  <w16cid:commentId w16cid:paraId="3FEA81B6" w16cid:durableId="2B262968"/>
  <w16cid:commentId w16cid:paraId="0A14B686" w16cid:durableId="2B2629E0"/>
  <w16cid:commentId w16cid:paraId="6DE83F2B" w16cid:durableId="2B2137E7"/>
  <w16cid:commentId w16cid:paraId="3F801748" w16cid:durableId="2B2137ED"/>
  <w16cid:commentId w16cid:paraId="0B847D6C" w16cid:durableId="2B262A8A"/>
  <w16cid:commentId w16cid:paraId="0985E770" w16cid:durableId="2B21387D"/>
  <w16cid:commentId w16cid:paraId="630AC5A0" w16cid:durableId="2B262B93"/>
  <w16cid:commentId w16cid:paraId="2D487898" w16cid:durableId="2B215D8E"/>
  <w16cid:commentId w16cid:paraId="1B2FF36C" w16cid:durableId="2B262E45"/>
  <w16cid:commentId w16cid:paraId="010DDDB9" w16cid:durableId="2B215E27"/>
  <w16cid:commentId w16cid:paraId="737426F0" w16cid:durableId="2B262F06"/>
  <w16cid:commentId w16cid:paraId="6CDB26DF" w16cid:durableId="2B213CFF"/>
  <w16cid:commentId w16cid:paraId="14C3F508" w16cid:durableId="2B213DE9"/>
  <w16cid:commentId w16cid:paraId="73390B17" w16cid:durableId="2B214485"/>
  <w16cid:commentId w16cid:paraId="5E2B61DA" w16cid:durableId="2B21435B"/>
  <w16cid:commentId w16cid:paraId="46B06CE9" w16cid:durableId="2B262F70"/>
  <w16cid:commentId w16cid:paraId="785436D2" w16cid:durableId="2B263087"/>
  <w16cid:commentId w16cid:paraId="6BBAF2C3" w16cid:durableId="2B2141AF"/>
  <w16cid:commentId w16cid:paraId="37983CCA" w16cid:durableId="2B214201"/>
  <w16cid:commentId w16cid:paraId="19637244" w16cid:durableId="2B21429D"/>
  <w16cid:commentId w16cid:paraId="06ECADD3" w16cid:durableId="2B214242"/>
  <w16cid:commentId w16cid:paraId="7C078526" w16cid:durableId="2B2631F9"/>
  <w16cid:commentId w16cid:paraId="1350BC70" w16cid:durableId="2B2142DD"/>
  <w16cid:commentId w16cid:paraId="0975ED67" w16cid:durableId="2B214326"/>
  <w16cid:commentId w16cid:paraId="2E7B3090" w16cid:durableId="2B2143D1"/>
  <w16cid:commentId w16cid:paraId="5BE59348" w16cid:durableId="2B2144AC"/>
  <w16cid:commentId w16cid:paraId="5B6F461D" w16cid:durableId="2B214599"/>
  <w16cid:commentId w16cid:paraId="34E46058" w16cid:durableId="2B2145E5"/>
  <w16cid:commentId w16cid:paraId="74D5E71B" w16cid:durableId="2B214615"/>
  <w16cid:commentId w16cid:paraId="27EBB17F" w16cid:durableId="2B21470B"/>
  <w16cid:commentId w16cid:paraId="7A7719EE" w16cid:durableId="2B2148CE"/>
  <w16cid:commentId w16cid:paraId="4E72516E" w16cid:durableId="2B21636E"/>
  <w16cid:commentId w16cid:paraId="79D26294" w16cid:durableId="2B2163B4"/>
  <w16cid:commentId w16cid:paraId="68142073" w16cid:durableId="2B2163D6"/>
  <w16cid:commentId w16cid:paraId="6D5B8D58" w16cid:durableId="2B214C23"/>
  <w16cid:commentId w16cid:paraId="3D4E6D13" w16cid:durableId="2B2635D8"/>
  <w16cid:commentId w16cid:paraId="295E5ABF" w16cid:durableId="2B215950"/>
  <w16cid:commentId w16cid:paraId="13973E26" w16cid:durableId="2B215A4F"/>
  <w16cid:commentId w16cid:paraId="7FFCCCDE" w16cid:durableId="2B214CA6"/>
  <w16cid:commentId w16cid:paraId="68CB30C4" w16cid:durableId="2B215AC2"/>
  <w16cid:commentId w16cid:paraId="5DDFCB99" w16cid:durableId="2B215AE2"/>
  <w16cid:commentId w16cid:paraId="5F1942E8" w16cid:durableId="2B215B00"/>
  <w16cid:commentId w16cid:paraId="461A8EF5" w16cid:durableId="2B2165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02994C" w14:textId="77777777" w:rsidR="00B67E92" w:rsidRDefault="00B67E92" w:rsidP="004F5E36">
      <w:r>
        <w:separator/>
      </w:r>
    </w:p>
  </w:endnote>
  <w:endnote w:type="continuationSeparator" w:id="0">
    <w:p w14:paraId="3AFC62D5" w14:textId="77777777" w:rsidR="00B67E92" w:rsidRDefault="00B67E9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72D12C" w14:textId="77777777" w:rsidR="00B67E92" w:rsidRDefault="00B67E92" w:rsidP="004F5E36">
      <w:r>
        <w:separator/>
      </w:r>
    </w:p>
  </w:footnote>
  <w:footnote w:type="continuationSeparator" w:id="0">
    <w:p w14:paraId="583D74FD" w14:textId="77777777" w:rsidR="00B67E92" w:rsidRDefault="00B67E9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EE4EAE"/>
    <w:multiLevelType w:val="hybridMultilevel"/>
    <w:tmpl w:val="793EC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0E43A5"/>
    <w:multiLevelType w:val="multilevel"/>
    <w:tmpl w:val="AF7A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251252F4"/>
    <w:multiLevelType w:val="multilevel"/>
    <w:tmpl w:val="431E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37E1E29"/>
    <w:multiLevelType w:val="multilevel"/>
    <w:tmpl w:val="9676D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424787"/>
    <w:multiLevelType w:val="multilevel"/>
    <w:tmpl w:val="88E4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591FF8"/>
    <w:multiLevelType w:val="hybridMultilevel"/>
    <w:tmpl w:val="820474B6"/>
    <w:lvl w:ilvl="0" w:tplc="15769E68">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2C4152D"/>
    <w:multiLevelType w:val="multilevel"/>
    <w:tmpl w:val="0AB05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106582"/>
    <w:multiLevelType w:val="multilevel"/>
    <w:tmpl w:val="D97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6908A8"/>
    <w:multiLevelType w:val="multilevel"/>
    <w:tmpl w:val="8162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391083"/>
    <w:multiLevelType w:val="multilevel"/>
    <w:tmpl w:val="2CC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63117"/>
    <w:multiLevelType w:val="multilevel"/>
    <w:tmpl w:val="04B4E7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0" w15:restartNumberingAfterBreak="0">
    <w:nsid w:val="5A2E6917"/>
    <w:multiLevelType w:val="multilevel"/>
    <w:tmpl w:val="B170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7743F7"/>
    <w:multiLevelType w:val="multilevel"/>
    <w:tmpl w:val="33F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BA1C23"/>
    <w:multiLevelType w:val="multilevel"/>
    <w:tmpl w:val="2A8A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9"/>
  </w:num>
  <w:num w:numId="13">
    <w:abstractNumId w:val="17"/>
  </w:num>
  <w:num w:numId="14">
    <w:abstractNumId w:val="31"/>
  </w:num>
  <w:num w:numId="15">
    <w:abstractNumId w:val="34"/>
  </w:num>
  <w:num w:numId="16">
    <w:abstractNumId w:val="33"/>
  </w:num>
  <w:num w:numId="17">
    <w:abstractNumId w:val="15"/>
  </w:num>
  <w:num w:numId="18">
    <w:abstractNumId w:val="17"/>
    <w:lvlOverride w:ilvl="0">
      <w:startOverride w:val="1"/>
    </w:lvlOverride>
  </w:num>
  <w:num w:numId="19">
    <w:abstractNumId w:val="28"/>
  </w:num>
  <w:num w:numId="20">
    <w:abstractNumId w:val="27"/>
  </w:num>
  <w:num w:numId="21">
    <w:abstractNumId w:val="21"/>
  </w:num>
  <w:num w:numId="22">
    <w:abstractNumId w:val="20"/>
  </w:num>
  <w:num w:numId="23">
    <w:abstractNumId w:val="11"/>
  </w:num>
  <w:num w:numId="24">
    <w:abstractNumId w:val="18"/>
  </w:num>
  <w:num w:numId="25">
    <w:abstractNumId w:val="14"/>
  </w:num>
  <w:num w:numId="26">
    <w:abstractNumId w:val="16"/>
  </w:num>
  <w:num w:numId="27">
    <w:abstractNumId w:val="35"/>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0"/>
  </w:num>
  <w:num w:numId="32">
    <w:abstractNumId w:val="30"/>
  </w:num>
  <w:num w:numId="33">
    <w:abstractNumId w:val="25"/>
  </w:num>
  <w:num w:numId="34">
    <w:abstractNumId w:val="12"/>
  </w:num>
  <w:num w:numId="35">
    <w:abstractNumId w:val="24"/>
  </w:num>
  <w:num w:numId="36">
    <w:abstractNumId w:val="32"/>
  </w:num>
  <w:num w:numId="37">
    <w:abstractNumId w:val="26"/>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0F"/>
    <w:rsid w:val="000027C0"/>
    <w:rsid w:val="000039F3"/>
    <w:rsid w:val="00004506"/>
    <w:rsid w:val="00004E15"/>
    <w:rsid w:val="000052FB"/>
    <w:rsid w:val="00005A19"/>
    <w:rsid w:val="000117CB"/>
    <w:rsid w:val="00017C33"/>
    <w:rsid w:val="0003148D"/>
    <w:rsid w:val="00031EEC"/>
    <w:rsid w:val="0004060F"/>
    <w:rsid w:val="0004436E"/>
    <w:rsid w:val="00044AF0"/>
    <w:rsid w:val="00046DEB"/>
    <w:rsid w:val="00050CF0"/>
    <w:rsid w:val="00051566"/>
    <w:rsid w:val="00051BC0"/>
    <w:rsid w:val="00053374"/>
    <w:rsid w:val="000562A9"/>
    <w:rsid w:val="000562CD"/>
    <w:rsid w:val="00062A9A"/>
    <w:rsid w:val="00062D2E"/>
    <w:rsid w:val="00065058"/>
    <w:rsid w:val="00065588"/>
    <w:rsid w:val="00076464"/>
    <w:rsid w:val="000764BD"/>
    <w:rsid w:val="00086C39"/>
    <w:rsid w:val="000A03B2"/>
    <w:rsid w:val="000A2A5F"/>
    <w:rsid w:val="000B2A52"/>
    <w:rsid w:val="000B39C1"/>
    <w:rsid w:val="000B46A1"/>
    <w:rsid w:val="000B54AA"/>
    <w:rsid w:val="000B5EBD"/>
    <w:rsid w:val="000B7973"/>
    <w:rsid w:val="000D0268"/>
    <w:rsid w:val="000D0D29"/>
    <w:rsid w:val="000D264C"/>
    <w:rsid w:val="000D34BE"/>
    <w:rsid w:val="000D7015"/>
    <w:rsid w:val="000E0B3C"/>
    <w:rsid w:val="000E102F"/>
    <w:rsid w:val="000E36F1"/>
    <w:rsid w:val="000E3A73"/>
    <w:rsid w:val="000E414A"/>
    <w:rsid w:val="000E75FD"/>
    <w:rsid w:val="000F093C"/>
    <w:rsid w:val="000F787B"/>
    <w:rsid w:val="000F78B5"/>
    <w:rsid w:val="001015D5"/>
    <w:rsid w:val="0011162A"/>
    <w:rsid w:val="00115B13"/>
    <w:rsid w:val="0012091F"/>
    <w:rsid w:val="00126BC2"/>
    <w:rsid w:val="001308B6"/>
    <w:rsid w:val="0013121F"/>
    <w:rsid w:val="00131FE6"/>
    <w:rsid w:val="0013263F"/>
    <w:rsid w:val="001331DF"/>
    <w:rsid w:val="00134DE4"/>
    <w:rsid w:val="00137F6B"/>
    <w:rsid w:val="0014034D"/>
    <w:rsid w:val="00140FE3"/>
    <w:rsid w:val="00144D16"/>
    <w:rsid w:val="00150E59"/>
    <w:rsid w:val="00152DE3"/>
    <w:rsid w:val="00152E94"/>
    <w:rsid w:val="00153B86"/>
    <w:rsid w:val="00154D72"/>
    <w:rsid w:val="00157E15"/>
    <w:rsid w:val="00164CF9"/>
    <w:rsid w:val="00164FCB"/>
    <w:rsid w:val="0016668E"/>
    <w:rsid w:val="001667A6"/>
    <w:rsid w:val="0018171E"/>
    <w:rsid w:val="00184AD6"/>
    <w:rsid w:val="001944F1"/>
    <w:rsid w:val="001A4AF7"/>
    <w:rsid w:val="001B0349"/>
    <w:rsid w:val="001B1E93"/>
    <w:rsid w:val="001B65C1"/>
    <w:rsid w:val="001C260F"/>
    <w:rsid w:val="001C3443"/>
    <w:rsid w:val="001C58C8"/>
    <w:rsid w:val="001C5C3A"/>
    <w:rsid w:val="001C5E2E"/>
    <w:rsid w:val="001C684B"/>
    <w:rsid w:val="001D0CFB"/>
    <w:rsid w:val="001D1C03"/>
    <w:rsid w:val="001D21AF"/>
    <w:rsid w:val="001D3D32"/>
    <w:rsid w:val="001D53FC"/>
    <w:rsid w:val="001D55C8"/>
    <w:rsid w:val="001E32D4"/>
    <w:rsid w:val="001E6BD4"/>
    <w:rsid w:val="001F42A5"/>
    <w:rsid w:val="001F7A82"/>
    <w:rsid w:val="001F7B9D"/>
    <w:rsid w:val="002015FD"/>
    <w:rsid w:val="00201C93"/>
    <w:rsid w:val="0021240F"/>
    <w:rsid w:val="0021795B"/>
    <w:rsid w:val="002224B4"/>
    <w:rsid w:val="00235485"/>
    <w:rsid w:val="002447EF"/>
    <w:rsid w:val="002458CC"/>
    <w:rsid w:val="00251550"/>
    <w:rsid w:val="002537C1"/>
    <w:rsid w:val="00263B05"/>
    <w:rsid w:val="0027221A"/>
    <w:rsid w:val="00275B61"/>
    <w:rsid w:val="00280FAF"/>
    <w:rsid w:val="002822B7"/>
    <w:rsid w:val="00282656"/>
    <w:rsid w:val="00283BCB"/>
    <w:rsid w:val="00291F3B"/>
    <w:rsid w:val="002937EC"/>
    <w:rsid w:val="00296624"/>
    <w:rsid w:val="00296B83"/>
    <w:rsid w:val="002B4015"/>
    <w:rsid w:val="002B4C05"/>
    <w:rsid w:val="002B78CE"/>
    <w:rsid w:val="002C2FB6"/>
    <w:rsid w:val="002C362B"/>
    <w:rsid w:val="002D10AE"/>
    <w:rsid w:val="002D19A3"/>
    <w:rsid w:val="002D3713"/>
    <w:rsid w:val="002E5FA7"/>
    <w:rsid w:val="002F3309"/>
    <w:rsid w:val="002F3E95"/>
    <w:rsid w:val="003008CE"/>
    <w:rsid w:val="003009B7"/>
    <w:rsid w:val="00300E56"/>
    <w:rsid w:val="0030152C"/>
    <w:rsid w:val="0030469C"/>
    <w:rsid w:val="00304CE8"/>
    <w:rsid w:val="00306D48"/>
    <w:rsid w:val="00307F06"/>
    <w:rsid w:val="00317AF8"/>
    <w:rsid w:val="00321CA6"/>
    <w:rsid w:val="00323763"/>
    <w:rsid w:val="00323C5F"/>
    <w:rsid w:val="00330F25"/>
    <w:rsid w:val="00334C09"/>
    <w:rsid w:val="00350A75"/>
    <w:rsid w:val="00355170"/>
    <w:rsid w:val="00361E63"/>
    <w:rsid w:val="003723D4"/>
    <w:rsid w:val="00381905"/>
    <w:rsid w:val="00384CC8"/>
    <w:rsid w:val="003871FD"/>
    <w:rsid w:val="003903AC"/>
    <w:rsid w:val="00392B85"/>
    <w:rsid w:val="00392C57"/>
    <w:rsid w:val="00397EE0"/>
    <w:rsid w:val="003A1E30"/>
    <w:rsid w:val="003A2829"/>
    <w:rsid w:val="003A361C"/>
    <w:rsid w:val="003A6AAE"/>
    <w:rsid w:val="003A7D1C"/>
    <w:rsid w:val="003B304B"/>
    <w:rsid w:val="003B3146"/>
    <w:rsid w:val="003B49CD"/>
    <w:rsid w:val="003B545B"/>
    <w:rsid w:val="003D1E02"/>
    <w:rsid w:val="003D215D"/>
    <w:rsid w:val="003D289A"/>
    <w:rsid w:val="003D491D"/>
    <w:rsid w:val="003F015E"/>
    <w:rsid w:val="003F3467"/>
    <w:rsid w:val="00400414"/>
    <w:rsid w:val="00410FEB"/>
    <w:rsid w:val="0041446B"/>
    <w:rsid w:val="0041754E"/>
    <w:rsid w:val="0042068F"/>
    <w:rsid w:val="00423974"/>
    <w:rsid w:val="004378EC"/>
    <w:rsid w:val="0044071E"/>
    <w:rsid w:val="00440CC2"/>
    <w:rsid w:val="0044329C"/>
    <w:rsid w:val="00447085"/>
    <w:rsid w:val="00453E24"/>
    <w:rsid w:val="00457456"/>
    <w:rsid w:val="004577FE"/>
    <w:rsid w:val="00457B9C"/>
    <w:rsid w:val="0046164A"/>
    <w:rsid w:val="004628D2"/>
    <w:rsid w:val="00462DCD"/>
    <w:rsid w:val="004648AD"/>
    <w:rsid w:val="004703A9"/>
    <w:rsid w:val="00470A01"/>
    <w:rsid w:val="00470A17"/>
    <w:rsid w:val="0047271B"/>
    <w:rsid w:val="00475798"/>
    <w:rsid w:val="004760DE"/>
    <w:rsid w:val="004763D7"/>
    <w:rsid w:val="00480139"/>
    <w:rsid w:val="00492B1E"/>
    <w:rsid w:val="00494125"/>
    <w:rsid w:val="004A004E"/>
    <w:rsid w:val="004A24CF"/>
    <w:rsid w:val="004C0DF2"/>
    <w:rsid w:val="004C3D1D"/>
    <w:rsid w:val="004C3D84"/>
    <w:rsid w:val="004C7913"/>
    <w:rsid w:val="004D7D5B"/>
    <w:rsid w:val="004E0B1C"/>
    <w:rsid w:val="004E4DD6"/>
    <w:rsid w:val="004F3916"/>
    <w:rsid w:val="004F5E36"/>
    <w:rsid w:val="00507309"/>
    <w:rsid w:val="00507B47"/>
    <w:rsid w:val="00507BEF"/>
    <w:rsid w:val="00507CC9"/>
    <w:rsid w:val="005119A5"/>
    <w:rsid w:val="005278B7"/>
    <w:rsid w:val="00532016"/>
    <w:rsid w:val="005346C8"/>
    <w:rsid w:val="005411FC"/>
    <w:rsid w:val="00543E7D"/>
    <w:rsid w:val="00547A68"/>
    <w:rsid w:val="005529CC"/>
    <w:rsid w:val="005531C9"/>
    <w:rsid w:val="00554879"/>
    <w:rsid w:val="0055490D"/>
    <w:rsid w:val="00570C43"/>
    <w:rsid w:val="00571680"/>
    <w:rsid w:val="00571E17"/>
    <w:rsid w:val="00592274"/>
    <w:rsid w:val="00597E09"/>
    <w:rsid w:val="005A0E82"/>
    <w:rsid w:val="005B2110"/>
    <w:rsid w:val="005B350B"/>
    <w:rsid w:val="005B4D36"/>
    <w:rsid w:val="005B61E6"/>
    <w:rsid w:val="005C084E"/>
    <w:rsid w:val="005C20CA"/>
    <w:rsid w:val="005C77E1"/>
    <w:rsid w:val="005C79C8"/>
    <w:rsid w:val="005D668A"/>
    <w:rsid w:val="005D6A2F"/>
    <w:rsid w:val="005E0592"/>
    <w:rsid w:val="005E1A82"/>
    <w:rsid w:val="005E794C"/>
    <w:rsid w:val="005F0A28"/>
    <w:rsid w:val="005F0E5E"/>
    <w:rsid w:val="005F33D1"/>
    <w:rsid w:val="005F757D"/>
    <w:rsid w:val="00600535"/>
    <w:rsid w:val="00607D56"/>
    <w:rsid w:val="00610CD6"/>
    <w:rsid w:val="00620DEE"/>
    <w:rsid w:val="00621F92"/>
    <w:rsid w:val="0062280A"/>
    <w:rsid w:val="006231E1"/>
    <w:rsid w:val="00625513"/>
    <w:rsid w:val="00625639"/>
    <w:rsid w:val="00626342"/>
    <w:rsid w:val="00631B33"/>
    <w:rsid w:val="0064105A"/>
    <w:rsid w:val="0064184D"/>
    <w:rsid w:val="006422CC"/>
    <w:rsid w:val="00651D18"/>
    <w:rsid w:val="00652ED9"/>
    <w:rsid w:val="00660E3E"/>
    <w:rsid w:val="00662E74"/>
    <w:rsid w:val="006725FA"/>
    <w:rsid w:val="00680C23"/>
    <w:rsid w:val="00683C3A"/>
    <w:rsid w:val="00683E23"/>
    <w:rsid w:val="00693766"/>
    <w:rsid w:val="006A3281"/>
    <w:rsid w:val="006A6DE5"/>
    <w:rsid w:val="006B3DBE"/>
    <w:rsid w:val="006B4888"/>
    <w:rsid w:val="006B717A"/>
    <w:rsid w:val="006B779F"/>
    <w:rsid w:val="006C2E45"/>
    <w:rsid w:val="006C32C3"/>
    <w:rsid w:val="006C359C"/>
    <w:rsid w:val="006C5579"/>
    <w:rsid w:val="006D10E4"/>
    <w:rsid w:val="006D6051"/>
    <w:rsid w:val="006D6E8B"/>
    <w:rsid w:val="006D7209"/>
    <w:rsid w:val="006E737D"/>
    <w:rsid w:val="006F12F7"/>
    <w:rsid w:val="006F2217"/>
    <w:rsid w:val="006F6093"/>
    <w:rsid w:val="00707DD1"/>
    <w:rsid w:val="00713973"/>
    <w:rsid w:val="00720A24"/>
    <w:rsid w:val="00722391"/>
    <w:rsid w:val="00724A1E"/>
    <w:rsid w:val="00727C2C"/>
    <w:rsid w:val="00732386"/>
    <w:rsid w:val="00733716"/>
    <w:rsid w:val="0073514D"/>
    <w:rsid w:val="007447F3"/>
    <w:rsid w:val="0075499F"/>
    <w:rsid w:val="00756AA2"/>
    <w:rsid w:val="007661C8"/>
    <w:rsid w:val="0077098D"/>
    <w:rsid w:val="0077118A"/>
    <w:rsid w:val="00784DC3"/>
    <w:rsid w:val="00785BF9"/>
    <w:rsid w:val="0078637B"/>
    <w:rsid w:val="007931FA"/>
    <w:rsid w:val="00795BD2"/>
    <w:rsid w:val="007A25FB"/>
    <w:rsid w:val="007A4861"/>
    <w:rsid w:val="007A6494"/>
    <w:rsid w:val="007A7BBA"/>
    <w:rsid w:val="007B013B"/>
    <w:rsid w:val="007B0C50"/>
    <w:rsid w:val="007B338B"/>
    <w:rsid w:val="007B48F9"/>
    <w:rsid w:val="007C1A43"/>
    <w:rsid w:val="007C3CBB"/>
    <w:rsid w:val="007D0951"/>
    <w:rsid w:val="007D5051"/>
    <w:rsid w:val="007D5838"/>
    <w:rsid w:val="007D610D"/>
    <w:rsid w:val="007D6EB8"/>
    <w:rsid w:val="007D7AE7"/>
    <w:rsid w:val="007E29E6"/>
    <w:rsid w:val="007F0A21"/>
    <w:rsid w:val="007F31B6"/>
    <w:rsid w:val="0080013E"/>
    <w:rsid w:val="00801759"/>
    <w:rsid w:val="008110A1"/>
    <w:rsid w:val="00813288"/>
    <w:rsid w:val="008168FC"/>
    <w:rsid w:val="008247FA"/>
    <w:rsid w:val="00825579"/>
    <w:rsid w:val="00830996"/>
    <w:rsid w:val="008345F1"/>
    <w:rsid w:val="00834A29"/>
    <w:rsid w:val="00836D3A"/>
    <w:rsid w:val="00837742"/>
    <w:rsid w:val="0083778C"/>
    <w:rsid w:val="00865B07"/>
    <w:rsid w:val="0086619C"/>
    <w:rsid w:val="008667EA"/>
    <w:rsid w:val="00873E97"/>
    <w:rsid w:val="0087637F"/>
    <w:rsid w:val="00877CD0"/>
    <w:rsid w:val="00880A26"/>
    <w:rsid w:val="00882841"/>
    <w:rsid w:val="00892AD5"/>
    <w:rsid w:val="00892B60"/>
    <w:rsid w:val="008A1512"/>
    <w:rsid w:val="008B7B46"/>
    <w:rsid w:val="008D32B9"/>
    <w:rsid w:val="008D433B"/>
    <w:rsid w:val="008D4522"/>
    <w:rsid w:val="008D4A16"/>
    <w:rsid w:val="008E277E"/>
    <w:rsid w:val="008E5401"/>
    <w:rsid w:val="008E566E"/>
    <w:rsid w:val="0090161A"/>
    <w:rsid w:val="00901EB6"/>
    <w:rsid w:val="009041F8"/>
    <w:rsid w:val="00904C62"/>
    <w:rsid w:val="009059EC"/>
    <w:rsid w:val="00907ED0"/>
    <w:rsid w:val="00922BA8"/>
    <w:rsid w:val="00924DAC"/>
    <w:rsid w:val="00927058"/>
    <w:rsid w:val="00931FD6"/>
    <w:rsid w:val="009347B9"/>
    <w:rsid w:val="00935ED3"/>
    <w:rsid w:val="00942750"/>
    <w:rsid w:val="009450CE"/>
    <w:rsid w:val="009459BB"/>
    <w:rsid w:val="00947179"/>
    <w:rsid w:val="0095164B"/>
    <w:rsid w:val="00954090"/>
    <w:rsid w:val="009573E7"/>
    <w:rsid w:val="00962992"/>
    <w:rsid w:val="009629E3"/>
    <w:rsid w:val="00963E05"/>
    <w:rsid w:val="00964A45"/>
    <w:rsid w:val="00967843"/>
    <w:rsid w:val="00967D54"/>
    <w:rsid w:val="00971028"/>
    <w:rsid w:val="00984536"/>
    <w:rsid w:val="00986BDC"/>
    <w:rsid w:val="00991E84"/>
    <w:rsid w:val="00992809"/>
    <w:rsid w:val="00993B84"/>
    <w:rsid w:val="00994C6A"/>
    <w:rsid w:val="00996483"/>
    <w:rsid w:val="00996F5A"/>
    <w:rsid w:val="00997699"/>
    <w:rsid w:val="009B041A"/>
    <w:rsid w:val="009B0421"/>
    <w:rsid w:val="009B07B4"/>
    <w:rsid w:val="009B64BE"/>
    <w:rsid w:val="009B6E57"/>
    <w:rsid w:val="009C37C3"/>
    <w:rsid w:val="009C7C86"/>
    <w:rsid w:val="009D2FF7"/>
    <w:rsid w:val="009E1834"/>
    <w:rsid w:val="009E7884"/>
    <w:rsid w:val="009E788A"/>
    <w:rsid w:val="009F0E08"/>
    <w:rsid w:val="00A0413F"/>
    <w:rsid w:val="00A068DD"/>
    <w:rsid w:val="00A079AE"/>
    <w:rsid w:val="00A1763D"/>
    <w:rsid w:val="00A17CEC"/>
    <w:rsid w:val="00A27EF0"/>
    <w:rsid w:val="00A32807"/>
    <w:rsid w:val="00A42361"/>
    <w:rsid w:val="00A452E2"/>
    <w:rsid w:val="00A46DEE"/>
    <w:rsid w:val="00A50B20"/>
    <w:rsid w:val="00A51390"/>
    <w:rsid w:val="00A53F0D"/>
    <w:rsid w:val="00A556C6"/>
    <w:rsid w:val="00A60D13"/>
    <w:rsid w:val="00A7223D"/>
    <w:rsid w:val="00A72745"/>
    <w:rsid w:val="00A762DB"/>
    <w:rsid w:val="00A76EFC"/>
    <w:rsid w:val="00A8551D"/>
    <w:rsid w:val="00A87D50"/>
    <w:rsid w:val="00A91010"/>
    <w:rsid w:val="00A92DF5"/>
    <w:rsid w:val="00A97F29"/>
    <w:rsid w:val="00AA702E"/>
    <w:rsid w:val="00AA7D26"/>
    <w:rsid w:val="00AB0964"/>
    <w:rsid w:val="00AB5011"/>
    <w:rsid w:val="00AC7368"/>
    <w:rsid w:val="00AD16B9"/>
    <w:rsid w:val="00AD2735"/>
    <w:rsid w:val="00AD6884"/>
    <w:rsid w:val="00AE2957"/>
    <w:rsid w:val="00AE377D"/>
    <w:rsid w:val="00AF0EBA"/>
    <w:rsid w:val="00AF231F"/>
    <w:rsid w:val="00AF2463"/>
    <w:rsid w:val="00B02C8A"/>
    <w:rsid w:val="00B14169"/>
    <w:rsid w:val="00B17FBD"/>
    <w:rsid w:val="00B21202"/>
    <w:rsid w:val="00B2132E"/>
    <w:rsid w:val="00B315A6"/>
    <w:rsid w:val="00B31813"/>
    <w:rsid w:val="00B33365"/>
    <w:rsid w:val="00B41F88"/>
    <w:rsid w:val="00B44A10"/>
    <w:rsid w:val="00B515E6"/>
    <w:rsid w:val="00B57B36"/>
    <w:rsid w:val="00B57E6F"/>
    <w:rsid w:val="00B61F75"/>
    <w:rsid w:val="00B62ECB"/>
    <w:rsid w:val="00B6398A"/>
    <w:rsid w:val="00B652CD"/>
    <w:rsid w:val="00B67E92"/>
    <w:rsid w:val="00B7728C"/>
    <w:rsid w:val="00B8686D"/>
    <w:rsid w:val="00B93F69"/>
    <w:rsid w:val="00B942B0"/>
    <w:rsid w:val="00BB1DDC"/>
    <w:rsid w:val="00BB3165"/>
    <w:rsid w:val="00BC30C9"/>
    <w:rsid w:val="00BD077D"/>
    <w:rsid w:val="00BD440E"/>
    <w:rsid w:val="00BD7039"/>
    <w:rsid w:val="00BD723E"/>
    <w:rsid w:val="00BE3E58"/>
    <w:rsid w:val="00BF13CE"/>
    <w:rsid w:val="00C01616"/>
    <w:rsid w:val="00C0162B"/>
    <w:rsid w:val="00C068ED"/>
    <w:rsid w:val="00C176F8"/>
    <w:rsid w:val="00C22E0C"/>
    <w:rsid w:val="00C230FA"/>
    <w:rsid w:val="00C27A63"/>
    <w:rsid w:val="00C345B1"/>
    <w:rsid w:val="00C36F91"/>
    <w:rsid w:val="00C40142"/>
    <w:rsid w:val="00C46F14"/>
    <w:rsid w:val="00C472B7"/>
    <w:rsid w:val="00C47A94"/>
    <w:rsid w:val="00C52C3C"/>
    <w:rsid w:val="00C57182"/>
    <w:rsid w:val="00C57863"/>
    <w:rsid w:val="00C57884"/>
    <w:rsid w:val="00C6001F"/>
    <w:rsid w:val="00C640AF"/>
    <w:rsid w:val="00C642A9"/>
    <w:rsid w:val="00C655FD"/>
    <w:rsid w:val="00C75407"/>
    <w:rsid w:val="00C841C6"/>
    <w:rsid w:val="00C870A8"/>
    <w:rsid w:val="00C94434"/>
    <w:rsid w:val="00C94AAB"/>
    <w:rsid w:val="00CA0D75"/>
    <w:rsid w:val="00CA1C95"/>
    <w:rsid w:val="00CA1CE9"/>
    <w:rsid w:val="00CA5A9C"/>
    <w:rsid w:val="00CC4C20"/>
    <w:rsid w:val="00CD3517"/>
    <w:rsid w:val="00CD37D9"/>
    <w:rsid w:val="00CD3CE5"/>
    <w:rsid w:val="00CD5FE2"/>
    <w:rsid w:val="00CD7FD6"/>
    <w:rsid w:val="00CE7C68"/>
    <w:rsid w:val="00D02B4C"/>
    <w:rsid w:val="00D03F68"/>
    <w:rsid w:val="00D040C4"/>
    <w:rsid w:val="00D065A7"/>
    <w:rsid w:val="00D11B54"/>
    <w:rsid w:val="00D20AD1"/>
    <w:rsid w:val="00D2582C"/>
    <w:rsid w:val="00D46B7E"/>
    <w:rsid w:val="00D57C84"/>
    <w:rsid w:val="00D6057D"/>
    <w:rsid w:val="00D707FF"/>
    <w:rsid w:val="00D71640"/>
    <w:rsid w:val="00D7376E"/>
    <w:rsid w:val="00D75145"/>
    <w:rsid w:val="00D774B5"/>
    <w:rsid w:val="00D836C5"/>
    <w:rsid w:val="00D84576"/>
    <w:rsid w:val="00D858DA"/>
    <w:rsid w:val="00D931AB"/>
    <w:rsid w:val="00D9341A"/>
    <w:rsid w:val="00DA1399"/>
    <w:rsid w:val="00DA24C6"/>
    <w:rsid w:val="00DA3436"/>
    <w:rsid w:val="00DA4D7B"/>
    <w:rsid w:val="00DA5D84"/>
    <w:rsid w:val="00DA78E5"/>
    <w:rsid w:val="00DB1A90"/>
    <w:rsid w:val="00DC2840"/>
    <w:rsid w:val="00DC73EE"/>
    <w:rsid w:val="00DD271C"/>
    <w:rsid w:val="00DD5078"/>
    <w:rsid w:val="00DE0131"/>
    <w:rsid w:val="00DE161D"/>
    <w:rsid w:val="00DE264A"/>
    <w:rsid w:val="00DE300C"/>
    <w:rsid w:val="00DE5933"/>
    <w:rsid w:val="00DF5072"/>
    <w:rsid w:val="00E02D18"/>
    <w:rsid w:val="00E041E7"/>
    <w:rsid w:val="00E0445E"/>
    <w:rsid w:val="00E12E91"/>
    <w:rsid w:val="00E14BEC"/>
    <w:rsid w:val="00E23CA1"/>
    <w:rsid w:val="00E24F19"/>
    <w:rsid w:val="00E259F3"/>
    <w:rsid w:val="00E25C75"/>
    <w:rsid w:val="00E358FE"/>
    <w:rsid w:val="00E409A8"/>
    <w:rsid w:val="00E41321"/>
    <w:rsid w:val="00E45BD4"/>
    <w:rsid w:val="00E50C12"/>
    <w:rsid w:val="00E57763"/>
    <w:rsid w:val="00E65B91"/>
    <w:rsid w:val="00E7209D"/>
    <w:rsid w:val="00E72EAD"/>
    <w:rsid w:val="00E743BD"/>
    <w:rsid w:val="00E77223"/>
    <w:rsid w:val="00E8528B"/>
    <w:rsid w:val="00E85B94"/>
    <w:rsid w:val="00E978D0"/>
    <w:rsid w:val="00EA1D73"/>
    <w:rsid w:val="00EA4613"/>
    <w:rsid w:val="00EA7F91"/>
    <w:rsid w:val="00EB1523"/>
    <w:rsid w:val="00EB677A"/>
    <w:rsid w:val="00EC0E49"/>
    <w:rsid w:val="00EC101F"/>
    <w:rsid w:val="00EC1C2F"/>
    <w:rsid w:val="00EC1D9F"/>
    <w:rsid w:val="00EE0131"/>
    <w:rsid w:val="00EE17B0"/>
    <w:rsid w:val="00EF025A"/>
    <w:rsid w:val="00EF06D9"/>
    <w:rsid w:val="00EF4D2D"/>
    <w:rsid w:val="00F058BE"/>
    <w:rsid w:val="00F17369"/>
    <w:rsid w:val="00F237A6"/>
    <w:rsid w:val="00F3049E"/>
    <w:rsid w:val="00F30C64"/>
    <w:rsid w:val="00F32BA2"/>
    <w:rsid w:val="00F32CDB"/>
    <w:rsid w:val="00F41EE4"/>
    <w:rsid w:val="00F44CAD"/>
    <w:rsid w:val="00F565FE"/>
    <w:rsid w:val="00F56B59"/>
    <w:rsid w:val="00F60C2C"/>
    <w:rsid w:val="00F63A70"/>
    <w:rsid w:val="00F63D8C"/>
    <w:rsid w:val="00F7534E"/>
    <w:rsid w:val="00F93EDF"/>
    <w:rsid w:val="00FA04A8"/>
    <w:rsid w:val="00FA1802"/>
    <w:rsid w:val="00FA1B14"/>
    <w:rsid w:val="00FA21D0"/>
    <w:rsid w:val="00FA5F5F"/>
    <w:rsid w:val="00FA63D0"/>
    <w:rsid w:val="00FB5A1F"/>
    <w:rsid w:val="00FB730C"/>
    <w:rsid w:val="00FB78DB"/>
    <w:rsid w:val="00FC2695"/>
    <w:rsid w:val="00FC3E03"/>
    <w:rsid w:val="00FC3FC1"/>
    <w:rsid w:val="00FC69FF"/>
    <w:rsid w:val="00FD006A"/>
    <w:rsid w:val="00FF078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836D3A"/>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table" w:styleId="PlainTable4">
    <w:name w:val="Plain Table 4"/>
    <w:basedOn w:val="TableNormal"/>
    <w:uiPriority w:val="44"/>
    <w:rsid w:val="00044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443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46464">
      <w:bodyDiv w:val="1"/>
      <w:marLeft w:val="0"/>
      <w:marRight w:val="0"/>
      <w:marTop w:val="0"/>
      <w:marBottom w:val="0"/>
      <w:divBdr>
        <w:top w:val="none" w:sz="0" w:space="0" w:color="auto"/>
        <w:left w:val="none" w:sz="0" w:space="0" w:color="auto"/>
        <w:bottom w:val="none" w:sz="0" w:space="0" w:color="auto"/>
        <w:right w:val="none" w:sz="0" w:space="0" w:color="auto"/>
      </w:divBdr>
    </w:div>
    <w:div w:id="205262653">
      <w:bodyDiv w:val="1"/>
      <w:marLeft w:val="0"/>
      <w:marRight w:val="0"/>
      <w:marTop w:val="0"/>
      <w:marBottom w:val="0"/>
      <w:divBdr>
        <w:top w:val="none" w:sz="0" w:space="0" w:color="auto"/>
        <w:left w:val="none" w:sz="0" w:space="0" w:color="auto"/>
        <w:bottom w:val="none" w:sz="0" w:space="0" w:color="auto"/>
        <w:right w:val="none" w:sz="0" w:space="0" w:color="auto"/>
      </w:divBdr>
    </w:div>
    <w:div w:id="349574089">
      <w:bodyDiv w:val="1"/>
      <w:marLeft w:val="0"/>
      <w:marRight w:val="0"/>
      <w:marTop w:val="0"/>
      <w:marBottom w:val="0"/>
      <w:divBdr>
        <w:top w:val="none" w:sz="0" w:space="0" w:color="auto"/>
        <w:left w:val="none" w:sz="0" w:space="0" w:color="auto"/>
        <w:bottom w:val="none" w:sz="0" w:space="0" w:color="auto"/>
        <w:right w:val="none" w:sz="0" w:space="0" w:color="auto"/>
      </w:divBdr>
    </w:div>
    <w:div w:id="457533100">
      <w:bodyDiv w:val="1"/>
      <w:marLeft w:val="0"/>
      <w:marRight w:val="0"/>
      <w:marTop w:val="0"/>
      <w:marBottom w:val="0"/>
      <w:divBdr>
        <w:top w:val="none" w:sz="0" w:space="0" w:color="auto"/>
        <w:left w:val="none" w:sz="0" w:space="0" w:color="auto"/>
        <w:bottom w:val="none" w:sz="0" w:space="0" w:color="auto"/>
        <w:right w:val="none" w:sz="0" w:space="0" w:color="auto"/>
      </w:divBdr>
    </w:div>
    <w:div w:id="692532902">
      <w:bodyDiv w:val="1"/>
      <w:marLeft w:val="0"/>
      <w:marRight w:val="0"/>
      <w:marTop w:val="0"/>
      <w:marBottom w:val="0"/>
      <w:divBdr>
        <w:top w:val="none" w:sz="0" w:space="0" w:color="auto"/>
        <w:left w:val="none" w:sz="0" w:space="0" w:color="auto"/>
        <w:bottom w:val="none" w:sz="0" w:space="0" w:color="auto"/>
        <w:right w:val="none" w:sz="0" w:space="0" w:color="auto"/>
      </w:divBdr>
    </w:div>
    <w:div w:id="728843574">
      <w:bodyDiv w:val="1"/>
      <w:marLeft w:val="0"/>
      <w:marRight w:val="0"/>
      <w:marTop w:val="0"/>
      <w:marBottom w:val="0"/>
      <w:divBdr>
        <w:top w:val="none" w:sz="0" w:space="0" w:color="auto"/>
        <w:left w:val="none" w:sz="0" w:space="0" w:color="auto"/>
        <w:bottom w:val="none" w:sz="0" w:space="0" w:color="auto"/>
        <w:right w:val="none" w:sz="0" w:space="0" w:color="auto"/>
      </w:divBdr>
    </w:div>
    <w:div w:id="73204774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2670">
      <w:bodyDiv w:val="1"/>
      <w:marLeft w:val="0"/>
      <w:marRight w:val="0"/>
      <w:marTop w:val="0"/>
      <w:marBottom w:val="0"/>
      <w:divBdr>
        <w:top w:val="none" w:sz="0" w:space="0" w:color="auto"/>
        <w:left w:val="none" w:sz="0" w:space="0" w:color="auto"/>
        <w:bottom w:val="none" w:sz="0" w:space="0" w:color="auto"/>
        <w:right w:val="none" w:sz="0" w:space="0" w:color="auto"/>
      </w:divBdr>
    </w:div>
    <w:div w:id="1019550258">
      <w:bodyDiv w:val="1"/>
      <w:marLeft w:val="0"/>
      <w:marRight w:val="0"/>
      <w:marTop w:val="0"/>
      <w:marBottom w:val="0"/>
      <w:divBdr>
        <w:top w:val="none" w:sz="0" w:space="0" w:color="auto"/>
        <w:left w:val="none" w:sz="0" w:space="0" w:color="auto"/>
        <w:bottom w:val="none" w:sz="0" w:space="0" w:color="auto"/>
        <w:right w:val="none" w:sz="0" w:space="0" w:color="auto"/>
      </w:divBdr>
    </w:div>
    <w:div w:id="1145202783">
      <w:bodyDiv w:val="1"/>
      <w:marLeft w:val="0"/>
      <w:marRight w:val="0"/>
      <w:marTop w:val="0"/>
      <w:marBottom w:val="0"/>
      <w:divBdr>
        <w:top w:val="none" w:sz="0" w:space="0" w:color="auto"/>
        <w:left w:val="none" w:sz="0" w:space="0" w:color="auto"/>
        <w:bottom w:val="none" w:sz="0" w:space="0" w:color="auto"/>
        <w:right w:val="none" w:sz="0" w:space="0" w:color="auto"/>
      </w:divBdr>
    </w:div>
    <w:div w:id="1239441826">
      <w:bodyDiv w:val="1"/>
      <w:marLeft w:val="0"/>
      <w:marRight w:val="0"/>
      <w:marTop w:val="0"/>
      <w:marBottom w:val="0"/>
      <w:divBdr>
        <w:top w:val="none" w:sz="0" w:space="0" w:color="auto"/>
        <w:left w:val="none" w:sz="0" w:space="0" w:color="auto"/>
        <w:bottom w:val="none" w:sz="0" w:space="0" w:color="auto"/>
        <w:right w:val="none" w:sz="0" w:space="0" w:color="auto"/>
      </w:divBdr>
    </w:div>
    <w:div w:id="1297180895">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80593894">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6825748">
      <w:bodyDiv w:val="1"/>
      <w:marLeft w:val="0"/>
      <w:marRight w:val="0"/>
      <w:marTop w:val="0"/>
      <w:marBottom w:val="0"/>
      <w:divBdr>
        <w:top w:val="none" w:sz="0" w:space="0" w:color="auto"/>
        <w:left w:val="none" w:sz="0" w:space="0" w:color="auto"/>
        <w:bottom w:val="none" w:sz="0" w:space="0" w:color="auto"/>
        <w:right w:val="none" w:sz="0" w:space="0" w:color="auto"/>
      </w:divBdr>
    </w:div>
    <w:div w:id="146619117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8366753">
      <w:bodyDiv w:val="1"/>
      <w:marLeft w:val="0"/>
      <w:marRight w:val="0"/>
      <w:marTop w:val="0"/>
      <w:marBottom w:val="0"/>
      <w:divBdr>
        <w:top w:val="none" w:sz="0" w:space="0" w:color="auto"/>
        <w:left w:val="none" w:sz="0" w:space="0" w:color="auto"/>
        <w:bottom w:val="none" w:sz="0" w:space="0" w:color="auto"/>
        <w:right w:val="none" w:sz="0" w:space="0" w:color="auto"/>
      </w:divBdr>
    </w:div>
    <w:div w:id="1546288744">
      <w:bodyDiv w:val="1"/>
      <w:marLeft w:val="0"/>
      <w:marRight w:val="0"/>
      <w:marTop w:val="0"/>
      <w:marBottom w:val="0"/>
      <w:divBdr>
        <w:top w:val="none" w:sz="0" w:space="0" w:color="auto"/>
        <w:left w:val="none" w:sz="0" w:space="0" w:color="auto"/>
        <w:bottom w:val="none" w:sz="0" w:space="0" w:color="auto"/>
        <w:right w:val="none" w:sz="0" w:space="0" w:color="auto"/>
      </w:divBdr>
    </w:div>
    <w:div w:id="1584222971">
      <w:bodyDiv w:val="1"/>
      <w:marLeft w:val="0"/>
      <w:marRight w:val="0"/>
      <w:marTop w:val="0"/>
      <w:marBottom w:val="0"/>
      <w:divBdr>
        <w:top w:val="none" w:sz="0" w:space="0" w:color="auto"/>
        <w:left w:val="none" w:sz="0" w:space="0" w:color="auto"/>
        <w:bottom w:val="none" w:sz="0" w:space="0" w:color="auto"/>
        <w:right w:val="none" w:sz="0" w:space="0" w:color="auto"/>
      </w:divBdr>
    </w:div>
    <w:div w:id="1649285944">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40146502">
      <w:bodyDiv w:val="1"/>
      <w:marLeft w:val="0"/>
      <w:marRight w:val="0"/>
      <w:marTop w:val="0"/>
      <w:marBottom w:val="0"/>
      <w:divBdr>
        <w:top w:val="none" w:sz="0" w:space="0" w:color="auto"/>
        <w:left w:val="none" w:sz="0" w:space="0" w:color="auto"/>
        <w:bottom w:val="none" w:sz="0" w:space="0" w:color="auto"/>
        <w:right w:val="none" w:sz="0" w:space="0" w:color="auto"/>
      </w:divBdr>
    </w:div>
    <w:div w:id="1943801982">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s://doi.org/10.3390/pr101226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doi.org/10.1016/s0301-7516(97)00041-0" TargetMode="External"/><Relationship Id="rId2" Type="http://schemas.openxmlformats.org/officeDocument/2006/relationships/numbering" Target="numbering.xml"/><Relationship Id="rId16" Type="http://schemas.openxmlformats.org/officeDocument/2006/relationships/hyperlink" Target="https://doi.org/10.3390/catal11091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016/j.mineng.2013.05.027"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microsoft.com/office/2016/09/relationships/commentsIds" Target="commentsId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'pH graph'!$H$3</c:f>
              <c:strCache>
                <c:ptCount val="1"/>
                <c:pt idx="0">
                  <c:v>pH 7.5</c:v>
                </c:pt>
              </c:strCache>
            </c:strRef>
          </c:tx>
          <c:spPr>
            <a:ln w="15875" cap="rnd">
              <a:solidFill>
                <a:schemeClr val="tx1"/>
              </a:solidFill>
              <a:round/>
            </a:ln>
            <a:effectLst/>
          </c:spPr>
          <c:marker>
            <c:symbol val="x"/>
            <c:size val="5"/>
            <c:spPr>
              <a:noFill/>
              <a:ln w="9525">
                <a:solidFill>
                  <a:schemeClr val="accent1"/>
                </a:solidFill>
              </a:ln>
              <a:effectLst/>
            </c:spPr>
          </c:marker>
          <c:cat>
            <c:numRef>
              <c:f>'pH graph'!$G$4:$G$12</c:f>
              <c:numCache>
                <c:formatCode>General</c:formatCode>
                <c:ptCount val="9"/>
                <c:pt idx="0">
                  <c:v>1</c:v>
                </c:pt>
                <c:pt idx="1">
                  <c:v>17</c:v>
                </c:pt>
                <c:pt idx="2">
                  <c:v>19</c:v>
                </c:pt>
                <c:pt idx="3">
                  <c:v>21</c:v>
                </c:pt>
                <c:pt idx="4">
                  <c:v>23</c:v>
                </c:pt>
                <c:pt idx="5">
                  <c:v>40</c:v>
                </c:pt>
                <c:pt idx="6">
                  <c:v>42</c:v>
                </c:pt>
                <c:pt idx="7">
                  <c:v>44</c:v>
                </c:pt>
                <c:pt idx="8">
                  <c:v>46</c:v>
                </c:pt>
              </c:numCache>
            </c:numRef>
          </c:cat>
          <c:val>
            <c:numRef>
              <c:f>'pH graph'!$H$4:$H$12</c:f>
              <c:numCache>
                <c:formatCode>General</c:formatCode>
                <c:ptCount val="9"/>
                <c:pt idx="0">
                  <c:v>6.5000000000000002E-2</c:v>
                </c:pt>
                <c:pt idx="1">
                  <c:v>2.2709999999999999</c:v>
                </c:pt>
                <c:pt idx="2">
                  <c:v>2.3140000000000001</c:v>
                </c:pt>
                <c:pt idx="3">
                  <c:v>2.2680000000000002</c:v>
                </c:pt>
                <c:pt idx="4">
                  <c:v>2.34</c:v>
                </c:pt>
                <c:pt idx="5">
                  <c:v>2.5</c:v>
                </c:pt>
                <c:pt idx="6">
                  <c:v>2.2999999999999998</c:v>
                </c:pt>
                <c:pt idx="7">
                  <c:v>2.0396666666666667</c:v>
                </c:pt>
                <c:pt idx="8">
                  <c:v>1.4016666666666666</c:v>
                </c:pt>
              </c:numCache>
            </c:numRef>
          </c:val>
          <c:smooth val="0"/>
        </c:ser>
        <c:ser>
          <c:idx val="1"/>
          <c:order val="1"/>
          <c:tx>
            <c:strRef>
              <c:f>'pH graph'!$I$3</c:f>
              <c:strCache>
                <c:ptCount val="1"/>
                <c:pt idx="0">
                  <c:v>pH 8.5</c:v>
                </c:pt>
              </c:strCache>
            </c:strRef>
          </c:tx>
          <c:spPr>
            <a:ln w="15875" cap="rnd">
              <a:solidFill>
                <a:schemeClr val="tx1"/>
              </a:solidFill>
              <a:prstDash val="dash"/>
              <a:round/>
            </a:ln>
            <a:effectLst/>
          </c:spPr>
          <c:marker>
            <c:symbol val="square"/>
            <c:size val="5"/>
            <c:spPr>
              <a:solidFill>
                <a:schemeClr val="tx1"/>
              </a:solidFill>
              <a:ln w="9525">
                <a:solidFill>
                  <a:schemeClr val="accent2"/>
                </a:solidFill>
              </a:ln>
              <a:effectLst/>
            </c:spPr>
          </c:marker>
          <c:cat>
            <c:numRef>
              <c:f>'pH graph'!$G$4:$G$12</c:f>
              <c:numCache>
                <c:formatCode>General</c:formatCode>
                <c:ptCount val="9"/>
                <c:pt idx="0">
                  <c:v>1</c:v>
                </c:pt>
                <c:pt idx="1">
                  <c:v>17</c:v>
                </c:pt>
                <c:pt idx="2">
                  <c:v>19</c:v>
                </c:pt>
                <c:pt idx="3">
                  <c:v>21</c:v>
                </c:pt>
                <c:pt idx="4">
                  <c:v>23</c:v>
                </c:pt>
                <c:pt idx="5">
                  <c:v>40</c:v>
                </c:pt>
                <c:pt idx="6">
                  <c:v>42</c:v>
                </c:pt>
                <c:pt idx="7">
                  <c:v>44</c:v>
                </c:pt>
                <c:pt idx="8">
                  <c:v>46</c:v>
                </c:pt>
              </c:numCache>
            </c:numRef>
          </c:cat>
          <c:val>
            <c:numRef>
              <c:f>'pH graph'!$I$4:$I$12</c:f>
              <c:numCache>
                <c:formatCode>General</c:formatCode>
                <c:ptCount val="9"/>
                <c:pt idx="0">
                  <c:v>0.13833333333333334</c:v>
                </c:pt>
                <c:pt idx="1">
                  <c:v>2.5566666666666666</c:v>
                </c:pt>
                <c:pt idx="2">
                  <c:v>2.6059999999999999</c:v>
                </c:pt>
                <c:pt idx="3">
                  <c:v>2.6236666666666668</c:v>
                </c:pt>
                <c:pt idx="4">
                  <c:v>2.8716666666666666</c:v>
                </c:pt>
                <c:pt idx="5">
                  <c:v>3.3326666666666669</c:v>
                </c:pt>
                <c:pt idx="6">
                  <c:v>3.1673333333333331</c:v>
                </c:pt>
                <c:pt idx="7">
                  <c:v>2.234</c:v>
                </c:pt>
                <c:pt idx="8">
                  <c:v>1.6716666666666666</c:v>
                </c:pt>
              </c:numCache>
            </c:numRef>
          </c:val>
          <c:smooth val="0"/>
        </c:ser>
        <c:ser>
          <c:idx val="2"/>
          <c:order val="2"/>
          <c:tx>
            <c:strRef>
              <c:f>'pH graph'!$J$3</c:f>
              <c:strCache>
                <c:ptCount val="1"/>
                <c:pt idx="0">
                  <c:v>pH9.5</c:v>
                </c:pt>
              </c:strCache>
            </c:strRef>
          </c:tx>
          <c:spPr>
            <a:ln w="15875" cap="rnd">
              <a:solidFill>
                <a:schemeClr val="tx1"/>
              </a:solidFill>
              <a:prstDash val="dashDot"/>
              <a:round/>
            </a:ln>
            <a:effectLst/>
          </c:spPr>
          <c:marker>
            <c:symbol val="circle"/>
            <c:size val="5"/>
            <c:spPr>
              <a:noFill/>
              <a:ln w="9525">
                <a:solidFill>
                  <a:schemeClr val="accent3"/>
                </a:solidFill>
              </a:ln>
              <a:effectLst/>
            </c:spPr>
          </c:marker>
          <c:cat>
            <c:numRef>
              <c:f>'pH graph'!$G$4:$G$12</c:f>
              <c:numCache>
                <c:formatCode>General</c:formatCode>
                <c:ptCount val="9"/>
                <c:pt idx="0">
                  <c:v>1</c:v>
                </c:pt>
                <c:pt idx="1">
                  <c:v>17</c:v>
                </c:pt>
                <c:pt idx="2">
                  <c:v>19</c:v>
                </c:pt>
                <c:pt idx="3">
                  <c:v>21</c:v>
                </c:pt>
                <c:pt idx="4">
                  <c:v>23</c:v>
                </c:pt>
                <c:pt idx="5">
                  <c:v>40</c:v>
                </c:pt>
                <c:pt idx="6">
                  <c:v>42</c:v>
                </c:pt>
                <c:pt idx="7">
                  <c:v>44</c:v>
                </c:pt>
                <c:pt idx="8">
                  <c:v>46</c:v>
                </c:pt>
              </c:numCache>
            </c:numRef>
          </c:cat>
          <c:val>
            <c:numRef>
              <c:f>'pH graph'!$J$4:$J$12</c:f>
              <c:numCache>
                <c:formatCode>General</c:formatCode>
                <c:ptCount val="9"/>
                <c:pt idx="0">
                  <c:v>7.6999999999999999E-2</c:v>
                </c:pt>
                <c:pt idx="1">
                  <c:v>2.3336666666666668</c:v>
                </c:pt>
                <c:pt idx="2">
                  <c:v>2.2403333333333335</c:v>
                </c:pt>
                <c:pt idx="3">
                  <c:v>2.1036666666666668</c:v>
                </c:pt>
                <c:pt idx="4">
                  <c:v>2.0196666666666663</c:v>
                </c:pt>
                <c:pt idx="5">
                  <c:v>2.3463333333333334</c:v>
                </c:pt>
                <c:pt idx="6">
                  <c:v>2.0183333333333331</c:v>
                </c:pt>
                <c:pt idx="7">
                  <c:v>1.8179999999999998</c:v>
                </c:pt>
                <c:pt idx="8">
                  <c:v>1.1976666666666667</c:v>
                </c:pt>
              </c:numCache>
            </c:numRef>
          </c:val>
          <c:smooth val="0"/>
        </c:ser>
        <c:dLbls>
          <c:showLegendKey val="0"/>
          <c:showVal val="0"/>
          <c:showCatName val="0"/>
          <c:showSerName val="0"/>
          <c:showPercent val="0"/>
          <c:showBubbleSize val="0"/>
        </c:dLbls>
        <c:marker val="1"/>
        <c:smooth val="0"/>
        <c:axId val="243539416"/>
        <c:axId val="243538632"/>
      </c:lineChart>
      <c:catAx>
        <c:axId val="243539416"/>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b="1">
                    <a:solidFill>
                      <a:sysClr val="windowText" lastClr="000000"/>
                    </a:solidFill>
                    <a:latin typeface="Arial" panose="020B0604020202020204" pitchFamily="34" charset="0"/>
                    <a:cs typeface="Arial" panose="020B0604020202020204" pitchFamily="34" charset="0"/>
                  </a:rPr>
                  <a:t>Time(h)</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t" anchorCtr="0"/>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3538632"/>
        <c:crosses val="autoZero"/>
        <c:auto val="1"/>
        <c:lblAlgn val="ctr"/>
        <c:lblOffset val="100"/>
        <c:noMultiLvlLbl val="0"/>
      </c:catAx>
      <c:valAx>
        <c:axId val="2435386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900" b="1">
                    <a:solidFill>
                      <a:sysClr val="windowText" lastClr="000000"/>
                    </a:solidFill>
                    <a:latin typeface="Arial" panose="020B0604020202020204" pitchFamily="34" charset="0"/>
                    <a:cs typeface="Arial" panose="020B0604020202020204" pitchFamily="34" charset="0"/>
                  </a:rPr>
                  <a:t>OD600</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243539416"/>
        <c:crosses val="autoZero"/>
        <c:crossBetween val="midCat"/>
      </c:valAx>
      <c:spPr>
        <a:noFill/>
        <a:ln>
          <a:solidFill>
            <a:schemeClr val="tx1"/>
          </a:solidFill>
        </a:ln>
        <a:effectLst/>
      </c:spPr>
    </c:plotArea>
    <c:legend>
      <c:legendPos val="r"/>
      <c:layout>
        <c:manualLayout>
          <c:xMode val="edge"/>
          <c:yMode val="edge"/>
          <c:x val="0.76476909054775466"/>
          <c:y val="0.30262989056192535"/>
          <c:w val="0.22130575714589198"/>
          <c:h val="0.39473960491780635"/>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430571977224892"/>
          <c:y val="0.14370376675888488"/>
          <c:w val="0.78320646021483731"/>
          <c:h val="0.61498432487605714"/>
        </c:manualLayout>
      </c:layout>
      <c:scatterChart>
        <c:scatterStyle val="lineMarker"/>
        <c:varyColors val="0"/>
        <c:ser>
          <c:idx val="0"/>
          <c:order val="0"/>
          <c:tx>
            <c:strRef>
              <c:f>Sheet1!$F$24</c:f>
              <c:strCache>
                <c:ptCount val="1"/>
                <c:pt idx="0">
                  <c:v>5mmol CN-</c:v>
                </c:pt>
              </c:strCache>
            </c:strRef>
          </c:tx>
          <c:spPr>
            <a:ln w="15875" cap="rnd">
              <a:solidFill>
                <a:schemeClr val="tx1"/>
              </a:solidFill>
              <a:prstDash val="dashDot"/>
              <a:round/>
            </a:ln>
            <a:effectLst/>
          </c:spPr>
          <c:marker>
            <c:symbol val="square"/>
            <c:size val="7"/>
            <c:spPr>
              <a:noFill/>
              <a:ln w="9525">
                <a:solidFill>
                  <a:schemeClr val="tx1"/>
                </a:solidFill>
              </a:ln>
              <a:effectLst/>
            </c:spPr>
          </c:marker>
          <c:xVal>
            <c:numRef>
              <c:f>Sheet1!$F$6:$F$11</c:f>
              <c:numCache>
                <c:formatCode>0</c:formatCode>
                <c:ptCount val="6"/>
                <c:pt idx="0" formatCode="General">
                  <c:v>0</c:v>
                </c:pt>
                <c:pt idx="1">
                  <c:v>24</c:v>
                </c:pt>
                <c:pt idx="2">
                  <c:v>36</c:v>
                </c:pt>
                <c:pt idx="3" formatCode="General">
                  <c:v>48</c:v>
                </c:pt>
                <c:pt idx="4" formatCode="General">
                  <c:v>60</c:v>
                </c:pt>
                <c:pt idx="5" formatCode="General">
                  <c:v>72</c:v>
                </c:pt>
              </c:numCache>
            </c:numRef>
          </c:xVal>
          <c:yVal>
            <c:numRef>
              <c:f>Sheet1!$G$6:$G$11</c:f>
              <c:numCache>
                <c:formatCode>General</c:formatCode>
                <c:ptCount val="6"/>
                <c:pt idx="0">
                  <c:v>98</c:v>
                </c:pt>
                <c:pt idx="1">
                  <c:v>2.0720000000000001</c:v>
                </c:pt>
                <c:pt idx="2">
                  <c:v>1.7709999999999999</c:v>
                </c:pt>
                <c:pt idx="3">
                  <c:v>1.7589999999999999</c:v>
                </c:pt>
                <c:pt idx="4">
                  <c:v>1.7490000000000001</c:v>
                </c:pt>
                <c:pt idx="5">
                  <c:v>1.669</c:v>
                </c:pt>
              </c:numCache>
            </c:numRef>
          </c:yVal>
          <c:smooth val="0"/>
        </c:ser>
        <c:ser>
          <c:idx val="1"/>
          <c:order val="1"/>
          <c:tx>
            <c:strRef>
              <c:f>Sheet1!$F$25</c:f>
              <c:strCache>
                <c:ptCount val="1"/>
                <c:pt idx="0">
                  <c:v>3mmol CN-&amp;glucose</c:v>
                </c:pt>
              </c:strCache>
            </c:strRef>
          </c:tx>
          <c:spPr>
            <a:ln w="28575" cap="rnd">
              <a:solidFill>
                <a:schemeClr val="accent2"/>
              </a:solidFill>
              <a:round/>
            </a:ln>
            <a:effectLst/>
          </c:spPr>
          <c:marker>
            <c:symbol val="triangle"/>
            <c:size val="5"/>
            <c:spPr>
              <a:solidFill>
                <a:schemeClr val="tx1"/>
              </a:solidFill>
              <a:ln w="9525">
                <a:noFill/>
              </a:ln>
              <a:effectLst/>
            </c:spPr>
          </c:marker>
          <c:xVal>
            <c:numRef>
              <c:f>Sheet1!$F$6:$F$11</c:f>
              <c:numCache>
                <c:formatCode>0</c:formatCode>
                <c:ptCount val="6"/>
                <c:pt idx="0" formatCode="General">
                  <c:v>0</c:v>
                </c:pt>
                <c:pt idx="1">
                  <c:v>24</c:v>
                </c:pt>
                <c:pt idx="2">
                  <c:v>36</c:v>
                </c:pt>
                <c:pt idx="3" formatCode="General">
                  <c:v>48</c:v>
                </c:pt>
                <c:pt idx="4" formatCode="General">
                  <c:v>60</c:v>
                </c:pt>
                <c:pt idx="5" formatCode="General">
                  <c:v>72</c:v>
                </c:pt>
              </c:numCache>
            </c:numRef>
          </c:xVal>
          <c:yVal>
            <c:numRef>
              <c:f>Sheet1!$H$6:$H$11</c:f>
              <c:numCache>
                <c:formatCode>General</c:formatCode>
                <c:ptCount val="6"/>
                <c:pt idx="0">
                  <c:v>58.8</c:v>
                </c:pt>
                <c:pt idx="1">
                  <c:v>2.1320000000000001</c:v>
                </c:pt>
                <c:pt idx="2">
                  <c:v>1.6910000000000001</c:v>
                </c:pt>
                <c:pt idx="3">
                  <c:v>1.786</c:v>
                </c:pt>
                <c:pt idx="4">
                  <c:v>1.738</c:v>
                </c:pt>
                <c:pt idx="5">
                  <c:v>1.7110000000000001</c:v>
                </c:pt>
              </c:numCache>
            </c:numRef>
          </c:yVal>
          <c:smooth val="0"/>
        </c:ser>
        <c:ser>
          <c:idx val="2"/>
          <c:order val="2"/>
          <c:tx>
            <c:strRef>
              <c:f>Sheet1!$F$26</c:f>
              <c:strCache>
                <c:ptCount val="1"/>
                <c:pt idx="0">
                  <c:v>3mmol CN-</c:v>
                </c:pt>
              </c:strCache>
            </c:strRef>
          </c:tx>
          <c:spPr>
            <a:ln w="15875" cap="rnd">
              <a:solidFill>
                <a:schemeClr val="tx1"/>
              </a:solidFill>
              <a:round/>
            </a:ln>
            <a:effectLst/>
          </c:spPr>
          <c:marker>
            <c:symbol val="x"/>
            <c:size val="5"/>
            <c:spPr>
              <a:noFill/>
              <a:ln w="9525">
                <a:solidFill>
                  <a:schemeClr val="tx1"/>
                </a:solidFill>
              </a:ln>
              <a:effectLst/>
            </c:spPr>
          </c:marker>
          <c:xVal>
            <c:numRef>
              <c:f>Sheet1!$F$6:$F$11</c:f>
              <c:numCache>
                <c:formatCode>0</c:formatCode>
                <c:ptCount val="6"/>
                <c:pt idx="0" formatCode="General">
                  <c:v>0</c:v>
                </c:pt>
                <c:pt idx="1">
                  <c:v>24</c:v>
                </c:pt>
                <c:pt idx="2">
                  <c:v>36</c:v>
                </c:pt>
                <c:pt idx="3" formatCode="General">
                  <c:v>48</c:v>
                </c:pt>
                <c:pt idx="4" formatCode="General">
                  <c:v>60</c:v>
                </c:pt>
                <c:pt idx="5" formatCode="General">
                  <c:v>72</c:v>
                </c:pt>
              </c:numCache>
            </c:numRef>
          </c:xVal>
          <c:yVal>
            <c:numRef>
              <c:f>Sheet1!$I$6:$I$11</c:f>
              <c:numCache>
                <c:formatCode>General</c:formatCode>
                <c:ptCount val="6"/>
                <c:pt idx="0">
                  <c:v>58.8</c:v>
                </c:pt>
                <c:pt idx="1">
                  <c:v>1.901</c:v>
                </c:pt>
                <c:pt idx="2">
                  <c:v>1.8260000000000001</c:v>
                </c:pt>
                <c:pt idx="3">
                  <c:v>1.8240000000000001</c:v>
                </c:pt>
                <c:pt idx="4">
                  <c:v>1.7929999999999999</c:v>
                </c:pt>
                <c:pt idx="5">
                  <c:v>1.7</c:v>
                </c:pt>
              </c:numCache>
            </c:numRef>
          </c:yVal>
          <c:smooth val="0"/>
        </c:ser>
        <c:ser>
          <c:idx val="3"/>
          <c:order val="3"/>
          <c:tx>
            <c:strRef>
              <c:f>Sheet1!$F$27</c:f>
              <c:strCache>
                <c:ptCount val="1"/>
                <c:pt idx="0">
                  <c:v>1mmol CN-</c:v>
                </c:pt>
              </c:strCache>
            </c:strRef>
          </c:tx>
          <c:spPr>
            <a:ln w="15875" cap="rnd">
              <a:solidFill>
                <a:schemeClr val="tx1"/>
              </a:solidFill>
              <a:prstDash val="sysDash"/>
              <a:round/>
            </a:ln>
            <a:effectLst/>
          </c:spPr>
          <c:marker>
            <c:symbol val="plus"/>
            <c:size val="5"/>
            <c:spPr>
              <a:noFill/>
              <a:ln w="9525">
                <a:solidFill>
                  <a:schemeClr val="accent4"/>
                </a:solidFill>
              </a:ln>
              <a:effectLst/>
            </c:spPr>
          </c:marker>
          <c:xVal>
            <c:numRef>
              <c:f>Sheet1!$F$6:$F$11</c:f>
              <c:numCache>
                <c:formatCode>0</c:formatCode>
                <c:ptCount val="6"/>
                <c:pt idx="0" formatCode="General">
                  <c:v>0</c:v>
                </c:pt>
                <c:pt idx="1">
                  <c:v>24</c:v>
                </c:pt>
                <c:pt idx="2">
                  <c:v>36</c:v>
                </c:pt>
                <c:pt idx="3" formatCode="General">
                  <c:v>48</c:v>
                </c:pt>
                <c:pt idx="4" formatCode="General">
                  <c:v>60</c:v>
                </c:pt>
                <c:pt idx="5" formatCode="General">
                  <c:v>72</c:v>
                </c:pt>
              </c:numCache>
            </c:numRef>
          </c:xVal>
          <c:yVal>
            <c:numRef>
              <c:f>Sheet1!$J$6:$J$11</c:f>
              <c:numCache>
                <c:formatCode>General</c:formatCode>
                <c:ptCount val="6"/>
                <c:pt idx="0">
                  <c:v>19.600000000000001</c:v>
                </c:pt>
                <c:pt idx="1">
                  <c:v>1.6679999999999999</c:v>
                </c:pt>
                <c:pt idx="2">
                  <c:v>1.901</c:v>
                </c:pt>
                <c:pt idx="3">
                  <c:v>1.732</c:v>
                </c:pt>
                <c:pt idx="4">
                  <c:v>1.78</c:v>
                </c:pt>
                <c:pt idx="5">
                  <c:v>1.7130000000000001</c:v>
                </c:pt>
              </c:numCache>
            </c:numRef>
          </c:yVal>
          <c:smooth val="0"/>
        </c:ser>
        <c:dLbls>
          <c:showLegendKey val="0"/>
          <c:showVal val="0"/>
          <c:showCatName val="0"/>
          <c:showSerName val="0"/>
          <c:showPercent val="0"/>
          <c:showBubbleSize val="0"/>
        </c:dLbls>
        <c:axId val="53702472"/>
        <c:axId val="53702864"/>
      </c:scatterChart>
      <c:valAx>
        <c:axId val="53702472"/>
        <c:scaling>
          <c:orientation val="minMax"/>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b="1">
                    <a:solidFill>
                      <a:sysClr val="windowText" lastClr="000000"/>
                    </a:solidFill>
                    <a:latin typeface="Arial" panose="020B0604020202020204" pitchFamily="34" charset="0"/>
                    <a:cs typeface="Arial" panose="020B0604020202020204" pitchFamily="34" charset="0"/>
                  </a:rPr>
                  <a:t>Time (h)</a:t>
                </a:r>
              </a:p>
            </c:rich>
          </c:tx>
          <c:layout>
            <c:manualLayout>
              <c:xMode val="edge"/>
              <c:yMode val="edge"/>
              <c:x val="0.41543676050078404"/>
              <c:y val="0.85156217634957809"/>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no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02864"/>
        <c:crosses val="autoZero"/>
        <c:crossBetween val="midCat"/>
      </c:valAx>
      <c:valAx>
        <c:axId val="53702864"/>
        <c:scaling>
          <c:orientation val="minMax"/>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sz="800" b="1">
                    <a:solidFill>
                      <a:sysClr val="windowText" lastClr="000000"/>
                    </a:solidFill>
                    <a:latin typeface="Arial" panose="020B0604020202020204" pitchFamily="34" charset="0"/>
                    <a:cs typeface="Arial" panose="020B0604020202020204" pitchFamily="34" charset="0"/>
                  </a:rPr>
                  <a:t>CN-</a:t>
                </a:r>
                <a:r>
                  <a:rPr lang="en-GB" sz="800" b="1" baseline="0">
                    <a:solidFill>
                      <a:sysClr val="windowText" lastClr="000000"/>
                    </a:solidFill>
                    <a:latin typeface="Arial" panose="020B0604020202020204" pitchFamily="34" charset="0"/>
                    <a:cs typeface="Arial" panose="020B0604020202020204" pitchFamily="34" charset="0"/>
                  </a:rPr>
                  <a:t> Concentration µg/l</a:t>
                </a:r>
                <a:endParaRPr lang="en-GB" sz="800" b="1">
                  <a:solidFill>
                    <a:sysClr val="windowText" lastClr="000000"/>
                  </a:solidFill>
                  <a:latin typeface="Arial" panose="020B0604020202020204" pitchFamily="34" charset="0"/>
                  <a:cs typeface="Arial" panose="020B0604020202020204" pitchFamily="34" charset="0"/>
                </a:endParaRPr>
              </a:p>
            </c:rich>
          </c:tx>
          <c:layout>
            <c:manualLayout>
              <c:xMode val="edge"/>
              <c:yMode val="edge"/>
              <c:x val="2.7565971772888021E-3"/>
              <c:y val="6.3808390618082744E-2"/>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rgbClr val="4F81BD"/>
            </a:solidFill>
          </a:ln>
          <a:effectLst/>
        </c:spPr>
        <c:txPr>
          <a:bodyPr rot="-60000000" spcFirstLastPara="1" vertOverflow="ellipsis" vert="horz" wrap="square" anchor="ctr" anchorCtr="1"/>
          <a:lstStyle/>
          <a:p>
            <a:pPr>
              <a:defRPr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3702472"/>
        <c:crosses val="autoZero"/>
        <c:crossBetween val="midCat"/>
        <c:majorUnit val="20"/>
      </c:valAx>
      <c:spPr>
        <a:noFill/>
        <a:ln>
          <a:solidFill>
            <a:schemeClr val="tx1"/>
          </a:solidFill>
        </a:ln>
        <a:effectLst/>
      </c:spPr>
    </c:plotArea>
    <c:legend>
      <c:legendPos val="r"/>
      <c:layout>
        <c:manualLayout>
          <c:xMode val="edge"/>
          <c:yMode val="edge"/>
          <c:x val="0.48866505548192612"/>
          <c:y val="0.14791856423352487"/>
          <c:w val="0.38314976901574299"/>
          <c:h val="0.4566445816073888"/>
        </c:manualLayout>
      </c:layout>
      <c:overlay val="0"/>
      <c:spPr>
        <a:noFill/>
        <a:ln>
          <a:noFill/>
        </a:ln>
        <a:effectLst/>
      </c:spPr>
      <c:txPr>
        <a:bodyPr rot="0" spcFirstLastPara="1" vertOverflow="ellipsis" vert="horz" wrap="square" anchor="ctr" anchorCtr="1"/>
        <a:lstStyle/>
        <a:p>
          <a:pPr>
            <a:defRPr sz="7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816852324897514"/>
          <c:y val="4.6296464250869175E-2"/>
          <c:w val="0.76972594050743659"/>
          <c:h val="0.81757728200641588"/>
        </c:manualLayout>
      </c:layout>
      <c:scatterChart>
        <c:scatterStyle val="smoothMarker"/>
        <c:varyColors val="0"/>
        <c:ser>
          <c:idx val="0"/>
          <c:order val="0"/>
          <c:tx>
            <c:strRef>
              <c:f>Sheet1!$F$3</c:f>
              <c:strCache>
                <c:ptCount val="1"/>
                <c:pt idx="0">
                  <c:v>CN degradation</c:v>
                </c:pt>
              </c:strCache>
            </c:strRef>
          </c:tx>
          <c:spPr>
            <a:ln w="12700" cap="rnd">
              <a:solidFill>
                <a:schemeClr val="tx1"/>
              </a:solidFill>
              <a:round/>
            </a:ln>
            <a:effectLst/>
          </c:spPr>
          <c:marker>
            <c:symbol val="circle"/>
            <c:size val="5"/>
            <c:spPr>
              <a:solidFill>
                <a:schemeClr val="tx1"/>
              </a:solidFill>
              <a:ln w="9525">
                <a:noFill/>
              </a:ln>
              <a:effectLst/>
            </c:spPr>
          </c:marker>
          <c:xVal>
            <c:numRef>
              <c:f>Sheet1!$E$4:$E$9</c:f>
              <c:numCache>
                <c:formatCode>General</c:formatCode>
                <c:ptCount val="6"/>
                <c:pt idx="0">
                  <c:v>1</c:v>
                </c:pt>
                <c:pt idx="1">
                  <c:v>24</c:v>
                </c:pt>
                <c:pt idx="2">
                  <c:v>36</c:v>
                </c:pt>
                <c:pt idx="3">
                  <c:v>48</c:v>
                </c:pt>
                <c:pt idx="4">
                  <c:v>60</c:v>
                </c:pt>
                <c:pt idx="5">
                  <c:v>72</c:v>
                </c:pt>
              </c:numCache>
            </c:numRef>
          </c:xVal>
          <c:yVal>
            <c:numRef>
              <c:f>Sheet1!$F$4:$F$9</c:f>
              <c:numCache>
                <c:formatCode>General</c:formatCode>
                <c:ptCount val="6"/>
                <c:pt idx="0">
                  <c:v>19.600000000000001</c:v>
                </c:pt>
                <c:pt idx="1">
                  <c:v>1.6679999999999999</c:v>
                </c:pt>
                <c:pt idx="2">
                  <c:v>1.901</c:v>
                </c:pt>
                <c:pt idx="3">
                  <c:v>1.732</c:v>
                </c:pt>
                <c:pt idx="4">
                  <c:v>1.78</c:v>
                </c:pt>
                <c:pt idx="5">
                  <c:v>1.7130000000000001</c:v>
                </c:pt>
              </c:numCache>
            </c:numRef>
          </c:yVal>
          <c:smooth val="1"/>
        </c:ser>
        <c:dLbls>
          <c:showLegendKey val="0"/>
          <c:showVal val="0"/>
          <c:showCatName val="0"/>
          <c:showSerName val="0"/>
          <c:showPercent val="0"/>
          <c:showBubbleSize val="0"/>
        </c:dLbls>
        <c:axId val="257065104"/>
        <c:axId val="257065496"/>
      </c:scatterChart>
      <c:scatterChart>
        <c:scatterStyle val="smoothMarker"/>
        <c:varyColors val="0"/>
        <c:ser>
          <c:idx val="1"/>
          <c:order val="1"/>
          <c:tx>
            <c:strRef>
              <c:f>Sheet1!$H$3</c:f>
              <c:strCache>
                <c:ptCount val="1"/>
                <c:pt idx="0">
                  <c:v>Glucose degradation</c:v>
                </c:pt>
              </c:strCache>
            </c:strRef>
          </c:tx>
          <c:spPr>
            <a:ln w="15875" cap="rnd">
              <a:solidFill>
                <a:schemeClr val="tx1"/>
              </a:solidFill>
              <a:prstDash val="dash"/>
              <a:round/>
            </a:ln>
            <a:effectLst/>
          </c:spPr>
          <c:marker>
            <c:symbol val="triangle"/>
            <c:size val="5"/>
            <c:spPr>
              <a:solidFill>
                <a:schemeClr val="tx1"/>
              </a:solidFill>
              <a:ln w="9525">
                <a:solidFill>
                  <a:schemeClr val="tx1"/>
                </a:solidFill>
              </a:ln>
              <a:effectLst/>
            </c:spPr>
          </c:marker>
          <c:xVal>
            <c:numRef>
              <c:f>Sheet1!$G$4:$G$11</c:f>
              <c:numCache>
                <c:formatCode>General</c:formatCode>
                <c:ptCount val="8"/>
                <c:pt idx="0">
                  <c:v>0</c:v>
                </c:pt>
                <c:pt idx="1">
                  <c:v>2</c:v>
                </c:pt>
                <c:pt idx="2">
                  <c:v>4</c:v>
                </c:pt>
                <c:pt idx="3">
                  <c:v>5</c:v>
                </c:pt>
                <c:pt idx="4">
                  <c:v>6</c:v>
                </c:pt>
                <c:pt idx="5">
                  <c:v>7</c:v>
                </c:pt>
                <c:pt idx="6">
                  <c:v>16</c:v>
                </c:pt>
                <c:pt idx="7">
                  <c:v>20</c:v>
                </c:pt>
              </c:numCache>
            </c:numRef>
          </c:xVal>
          <c:yVal>
            <c:numRef>
              <c:f>Sheet1!$H$4:$H$11</c:f>
              <c:numCache>
                <c:formatCode>General</c:formatCode>
                <c:ptCount val="8"/>
                <c:pt idx="0">
                  <c:v>10</c:v>
                </c:pt>
                <c:pt idx="1">
                  <c:v>5.9</c:v>
                </c:pt>
                <c:pt idx="2">
                  <c:v>5.8</c:v>
                </c:pt>
                <c:pt idx="3">
                  <c:v>5.6</c:v>
                </c:pt>
                <c:pt idx="4">
                  <c:v>4.7</c:v>
                </c:pt>
                <c:pt idx="5">
                  <c:v>4.5999999999999996</c:v>
                </c:pt>
                <c:pt idx="6">
                  <c:v>0.6</c:v>
                </c:pt>
                <c:pt idx="7">
                  <c:v>0</c:v>
                </c:pt>
              </c:numCache>
            </c:numRef>
          </c:yVal>
          <c:smooth val="1"/>
        </c:ser>
        <c:dLbls>
          <c:showLegendKey val="0"/>
          <c:showVal val="0"/>
          <c:showCatName val="0"/>
          <c:showSerName val="0"/>
          <c:showPercent val="0"/>
          <c:showBubbleSize val="0"/>
        </c:dLbls>
        <c:axId val="257066280"/>
        <c:axId val="257065888"/>
      </c:scatterChart>
      <c:valAx>
        <c:axId val="25706510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r>
                  <a:rPr lang="en-GB" sz="800" b="1">
                    <a:solidFill>
                      <a:schemeClr val="tx1"/>
                    </a:solidFill>
                    <a:latin typeface="Arial" panose="020B0604020202020204" pitchFamily="34" charset="0"/>
                    <a:cs typeface="Arial" panose="020B0604020202020204" pitchFamily="34" charset="0"/>
                  </a:rPr>
                  <a:t>Time (h)</a:t>
                </a:r>
              </a:p>
            </c:rich>
          </c:tx>
          <c:layout>
            <c:manualLayout>
              <c:xMode val="edge"/>
              <c:yMode val="edge"/>
              <c:x val="0.51838235939571098"/>
              <c:y val="0.91396797622519399"/>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7065496"/>
        <c:crosses val="autoZero"/>
        <c:crossBetween val="midCat"/>
      </c:valAx>
      <c:valAx>
        <c:axId val="257065496"/>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GB" sz="800" b="1">
                    <a:solidFill>
                      <a:schemeClr val="tx1"/>
                    </a:solidFill>
                    <a:latin typeface="Arial" panose="020B0604020202020204" pitchFamily="34" charset="0"/>
                    <a:cs typeface="Arial" panose="020B0604020202020204" pitchFamily="34" charset="0"/>
                  </a:rPr>
                  <a:t>CN</a:t>
                </a:r>
                <a:r>
                  <a:rPr lang="en-GB" sz="800" b="1" baseline="0">
                    <a:solidFill>
                      <a:schemeClr val="tx1"/>
                    </a:solidFill>
                    <a:latin typeface="Arial" panose="020B0604020202020204" pitchFamily="34" charset="0"/>
                    <a:cs typeface="Arial" panose="020B0604020202020204" pitchFamily="34" charset="0"/>
                  </a:rPr>
                  <a:t> concentration (</a:t>
                </a:r>
                <a:r>
                  <a:rPr lang="en-US" sz="800" b="1" i="0" u="none" strike="noStrike" baseline="0">
                    <a:solidFill>
                      <a:schemeClr val="tx1"/>
                    </a:solidFill>
                    <a:effectLst/>
                    <a:latin typeface="Arial" panose="020B0604020202020204" pitchFamily="34" charset="0"/>
                    <a:cs typeface="Arial" panose="020B0604020202020204" pitchFamily="34" charset="0"/>
                  </a:rPr>
                  <a:t>µg/L</a:t>
                </a:r>
                <a:r>
                  <a:rPr lang="en-GB" sz="800" b="1" baseline="0">
                    <a:solidFill>
                      <a:schemeClr val="tx1"/>
                    </a:solidFill>
                    <a:latin typeface="Arial" panose="020B0604020202020204" pitchFamily="34" charset="0"/>
                    <a:cs typeface="Arial" panose="020B0604020202020204" pitchFamily="34" charset="0"/>
                  </a:rPr>
                  <a:t>) </a:t>
                </a:r>
                <a:endParaRPr lang="en-GB" sz="800" b="1">
                  <a:solidFill>
                    <a:schemeClr val="tx1"/>
                  </a:solidFill>
                  <a:latin typeface="Arial" panose="020B0604020202020204" pitchFamily="34" charset="0"/>
                  <a:cs typeface="Arial" panose="020B0604020202020204" pitchFamily="34" charset="0"/>
                </a:endParaRPr>
              </a:p>
            </c:rich>
          </c:tx>
          <c:layout>
            <c:manualLayout>
              <c:xMode val="edge"/>
              <c:yMode val="edge"/>
              <c:x val="0"/>
              <c:y val="0.1171092880405656"/>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7065104"/>
        <c:crosses val="autoZero"/>
        <c:crossBetween val="midCat"/>
      </c:valAx>
      <c:valAx>
        <c:axId val="257065888"/>
        <c:scaling>
          <c:orientation val="minMax"/>
        </c:scaling>
        <c:delete val="0"/>
        <c:axPos val="r"/>
        <c:title>
          <c:tx>
            <c:rich>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r>
                  <a:rPr lang="en-GB" sz="700" b="1">
                    <a:solidFill>
                      <a:schemeClr val="tx1"/>
                    </a:solidFill>
                    <a:latin typeface="Arial" panose="020B0604020202020204" pitchFamily="34" charset="0"/>
                    <a:cs typeface="Arial" panose="020B0604020202020204" pitchFamily="34" charset="0"/>
                  </a:rPr>
                  <a:t>Glucose concentration (mmol/L)</a:t>
                </a:r>
              </a:p>
            </c:rich>
          </c:tx>
          <c:layout>
            <c:manualLayout>
              <c:xMode val="edge"/>
              <c:yMode val="edge"/>
              <c:x val="0.94990054336853358"/>
              <c:y val="5.3842410323709546E-2"/>
            </c:manualLayout>
          </c:layout>
          <c:overlay val="0"/>
          <c:spPr>
            <a:noFill/>
            <a:ln>
              <a:noFill/>
            </a:ln>
            <a:effectLst/>
          </c:spPr>
          <c:txPr>
            <a:bodyPr rot="-540000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57066280"/>
        <c:crosses val="max"/>
        <c:crossBetween val="midCat"/>
      </c:valAx>
      <c:valAx>
        <c:axId val="257066280"/>
        <c:scaling>
          <c:orientation val="minMax"/>
        </c:scaling>
        <c:delete val="1"/>
        <c:axPos val="b"/>
        <c:numFmt formatCode="General" sourceLinked="1"/>
        <c:majorTickMark val="out"/>
        <c:minorTickMark val="none"/>
        <c:tickLblPos val="nextTo"/>
        <c:crossAx val="257065888"/>
        <c:crosses val="autoZero"/>
        <c:crossBetween val="midCat"/>
      </c:valAx>
      <c:spPr>
        <a:noFill/>
        <a:ln>
          <a:noFill/>
        </a:ln>
        <a:effectLst/>
      </c:spPr>
    </c:plotArea>
    <c:legend>
      <c:legendPos val="r"/>
      <c:layout>
        <c:manualLayout>
          <c:xMode val="edge"/>
          <c:yMode val="edge"/>
          <c:x val="0.5190346419463524"/>
          <c:y val="0.24005826496818788"/>
          <c:w val="0.35138139647437694"/>
          <c:h val="0.31365850102070569"/>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6190D-468D-4F22-A6F1-B60F06FD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2025-02-03T11:18:00Z</dcterms:created>
  <dcterms:modified xsi:type="dcterms:W3CDTF">2025-02-03T11:18:00Z</dcterms:modified>
</cp:coreProperties>
</file>